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F8" w:rsidRPr="00B2593A" w:rsidRDefault="00DA0818" w:rsidP="007A39E6">
      <w:pPr>
        <w:pStyle w:val="a3"/>
        <w:widowControl w:val="0"/>
        <w:ind w:firstLine="567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Результати голосування на </w:t>
      </w:r>
      <w:r w:rsidR="007E74F3" w:rsidRPr="00B2593A">
        <w:rPr>
          <w:sz w:val="23"/>
          <w:szCs w:val="23"/>
          <w:lang w:val="uk-UA"/>
        </w:rPr>
        <w:t>позачергових</w:t>
      </w:r>
      <w:r w:rsidR="00F74AF8" w:rsidRPr="00B2593A">
        <w:rPr>
          <w:sz w:val="23"/>
          <w:szCs w:val="23"/>
          <w:lang w:val="uk-UA"/>
        </w:rPr>
        <w:t xml:space="preserve"> </w:t>
      </w:r>
      <w:r w:rsidR="00B7451A" w:rsidRPr="00B2593A">
        <w:rPr>
          <w:sz w:val="23"/>
          <w:szCs w:val="23"/>
          <w:lang w:val="uk-UA"/>
        </w:rPr>
        <w:t>З</w:t>
      </w:r>
      <w:r w:rsidR="00F74AF8" w:rsidRPr="00B2593A">
        <w:rPr>
          <w:sz w:val="23"/>
          <w:szCs w:val="23"/>
          <w:lang w:val="uk-UA"/>
        </w:rPr>
        <w:t>агальних зборів акціонерів</w:t>
      </w:r>
    </w:p>
    <w:p w:rsidR="004D6FEE" w:rsidRPr="00B2593A" w:rsidRDefault="004D6FEE" w:rsidP="007A39E6">
      <w:pPr>
        <w:pStyle w:val="a3"/>
        <w:widowControl w:val="0"/>
        <w:ind w:firstLine="567"/>
        <w:rPr>
          <w:sz w:val="23"/>
          <w:szCs w:val="23"/>
          <w:lang w:val="uk-UA"/>
        </w:rPr>
      </w:pPr>
      <w:r w:rsidRPr="00B2593A">
        <w:rPr>
          <w:sz w:val="23"/>
          <w:szCs w:val="23"/>
          <w:lang w:val="uk-UA"/>
        </w:rPr>
        <w:t>ПРИВ</w:t>
      </w:r>
      <w:r w:rsidR="00FF664B" w:rsidRPr="00B2593A">
        <w:rPr>
          <w:sz w:val="23"/>
          <w:szCs w:val="23"/>
          <w:lang w:val="uk-UA"/>
        </w:rPr>
        <w:t>АТНОГО АКЦІОНЕРНОГО ТОВАРИСТВА "</w:t>
      </w:r>
      <w:r w:rsidRPr="00B2593A">
        <w:rPr>
          <w:sz w:val="23"/>
          <w:szCs w:val="23"/>
          <w:lang w:val="uk-UA"/>
        </w:rPr>
        <w:t>ФОЗЗІ ГРУП</w:t>
      </w:r>
      <w:r w:rsidR="00FF664B" w:rsidRPr="00B2593A">
        <w:rPr>
          <w:sz w:val="23"/>
          <w:szCs w:val="23"/>
          <w:lang w:val="uk-UA"/>
        </w:rPr>
        <w:t>"</w:t>
      </w:r>
    </w:p>
    <w:p w:rsidR="004D6FEE" w:rsidRDefault="004D6FEE" w:rsidP="007A39E6">
      <w:pPr>
        <w:widowControl w:val="0"/>
        <w:ind w:firstLine="567"/>
        <w:jc w:val="center"/>
        <w:rPr>
          <w:b/>
          <w:sz w:val="23"/>
          <w:szCs w:val="23"/>
          <w:lang w:val="uk-UA"/>
        </w:rPr>
      </w:pPr>
      <w:r w:rsidRPr="00B2593A">
        <w:rPr>
          <w:b/>
          <w:sz w:val="23"/>
          <w:szCs w:val="23"/>
          <w:lang w:val="uk-UA"/>
        </w:rPr>
        <w:t>(ідентифікаційний код</w:t>
      </w:r>
      <w:r w:rsidR="006349B0" w:rsidRPr="00B2593A">
        <w:rPr>
          <w:b/>
          <w:sz w:val="23"/>
          <w:szCs w:val="23"/>
          <w:lang w:val="uk-UA"/>
        </w:rPr>
        <w:t xml:space="preserve"> юридичної особи</w:t>
      </w:r>
      <w:r w:rsidRPr="00B2593A">
        <w:rPr>
          <w:b/>
          <w:sz w:val="23"/>
          <w:szCs w:val="23"/>
          <w:lang w:val="uk-UA"/>
        </w:rPr>
        <w:t xml:space="preserve"> 33870713)</w:t>
      </w:r>
      <w:r w:rsidR="00DA0818">
        <w:rPr>
          <w:b/>
          <w:sz w:val="23"/>
          <w:szCs w:val="23"/>
          <w:lang w:val="uk-UA"/>
        </w:rPr>
        <w:t>,</w:t>
      </w:r>
    </w:p>
    <w:p w:rsidR="00DA0818" w:rsidRPr="00B2593A" w:rsidRDefault="00DA0818" w:rsidP="007A39E6">
      <w:pPr>
        <w:widowControl w:val="0"/>
        <w:ind w:firstLine="567"/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 xml:space="preserve">що відбулись </w:t>
      </w:r>
      <w:r w:rsidRPr="00DA0818">
        <w:rPr>
          <w:b/>
          <w:sz w:val="23"/>
          <w:szCs w:val="23"/>
          <w:lang w:val="uk-UA"/>
        </w:rPr>
        <w:t>25 травня 2020 року</w:t>
      </w:r>
    </w:p>
    <w:p w:rsidR="00C22DDA" w:rsidRPr="00B2593A" w:rsidRDefault="00C22DDA" w:rsidP="007A39E6">
      <w:pPr>
        <w:widowControl w:val="0"/>
        <w:ind w:firstLine="567"/>
        <w:jc w:val="both"/>
        <w:rPr>
          <w:sz w:val="23"/>
          <w:szCs w:val="23"/>
          <w:lang w:val="uk-UA"/>
        </w:rPr>
      </w:pPr>
    </w:p>
    <w:p w:rsidR="001C335A" w:rsidRPr="00DA0818" w:rsidRDefault="001C335A" w:rsidP="007A39E6">
      <w:pPr>
        <w:pStyle w:val="1"/>
        <w:spacing w:line="240" w:lineRule="auto"/>
        <w:ind w:firstLine="567"/>
        <w:jc w:val="both"/>
        <w:rPr>
          <w:b/>
          <w:sz w:val="23"/>
          <w:szCs w:val="23"/>
        </w:rPr>
      </w:pPr>
      <w:r w:rsidRPr="00DA0818">
        <w:rPr>
          <w:b/>
          <w:sz w:val="23"/>
          <w:szCs w:val="23"/>
        </w:rPr>
        <w:t xml:space="preserve">1. </w:t>
      </w:r>
      <w:r w:rsidR="007E74F3" w:rsidRPr="00DA0818">
        <w:rPr>
          <w:b/>
          <w:sz w:val="23"/>
          <w:szCs w:val="23"/>
        </w:rPr>
        <w:t>Прийняття рішень з питань порядку проведення Загальних зборів: обрання Голови та членів Лічильної комісії та прийняття рішення про припинення їх повноважень; обрання Голови та Секретаря Загальних зборів; затвердження регламенту роботи позачергових Загальних зборів акціонерів АТ "ФОЗЗІ ГРУП".</w:t>
      </w:r>
    </w:p>
    <w:p w:rsidR="00DA0818" w:rsidRPr="00DA0818" w:rsidRDefault="00DA0818" w:rsidP="007A39E6">
      <w:pPr>
        <w:pStyle w:val="1"/>
        <w:spacing w:line="240" w:lineRule="auto"/>
        <w:ind w:firstLine="567"/>
        <w:jc w:val="both"/>
        <w:rPr>
          <w:sz w:val="23"/>
          <w:szCs w:val="23"/>
          <w:u w:val="single"/>
        </w:rPr>
      </w:pPr>
      <w:r w:rsidRPr="00DA0818">
        <w:rPr>
          <w:sz w:val="23"/>
          <w:szCs w:val="23"/>
          <w:u w:val="single"/>
        </w:rPr>
        <w:t>Проект рішення:</w:t>
      </w:r>
    </w:p>
    <w:p w:rsidR="00DA0818" w:rsidRPr="00B2593A" w:rsidRDefault="00DA0818" w:rsidP="00DA0818">
      <w:pPr>
        <w:tabs>
          <w:tab w:val="left" w:pos="993"/>
        </w:tabs>
        <w:ind w:firstLine="567"/>
        <w:jc w:val="both"/>
        <w:rPr>
          <w:bCs/>
          <w:i/>
          <w:sz w:val="23"/>
          <w:szCs w:val="23"/>
          <w:lang w:val="uk-UA"/>
        </w:rPr>
      </w:pPr>
      <w:r w:rsidRPr="00B2593A">
        <w:rPr>
          <w:bCs/>
          <w:i/>
          <w:sz w:val="23"/>
          <w:szCs w:val="23"/>
          <w:lang w:val="uk-UA"/>
        </w:rPr>
        <w:t>1) Обрати наступний склад Лічильної комісії: Голова Лічильної комісії – Казанцева Альона Олександрівна, член Лічильної комісії – Микитюк Тетяна Петрівна. Повноваження Лічильної комісії чинні з моменту обрання та припиняються з моменту закінчення Загальних зборів акціонерів.</w:t>
      </w:r>
    </w:p>
    <w:p w:rsidR="00DA0818" w:rsidRPr="00B2593A" w:rsidRDefault="00DA0818" w:rsidP="00DA0818">
      <w:pPr>
        <w:tabs>
          <w:tab w:val="left" w:pos="993"/>
        </w:tabs>
        <w:ind w:firstLine="567"/>
        <w:jc w:val="both"/>
        <w:rPr>
          <w:bCs/>
          <w:i/>
          <w:sz w:val="23"/>
          <w:szCs w:val="23"/>
          <w:lang w:val="uk-UA"/>
        </w:rPr>
      </w:pPr>
      <w:r w:rsidRPr="00B2593A">
        <w:rPr>
          <w:bCs/>
          <w:i/>
          <w:sz w:val="23"/>
          <w:szCs w:val="23"/>
          <w:lang w:val="uk-UA"/>
        </w:rPr>
        <w:t xml:space="preserve">2) Обрати Головою позачергових Загальних Зборів акціонерів АТ "ФОЗЗІ ГРУП" - </w:t>
      </w:r>
      <w:r w:rsidRPr="00B2593A">
        <w:rPr>
          <w:bCs/>
          <w:i/>
          <w:snapToGrid w:val="0"/>
          <w:sz w:val="23"/>
          <w:szCs w:val="23"/>
          <w:lang w:val="uk-UA"/>
        </w:rPr>
        <w:t>Кострому Вікторію Василівну</w:t>
      </w:r>
      <w:r w:rsidRPr="00B2593A">
        <w:rPr>
          <w:bCs/>
          <w:i/>
          <w:sz w:val="23"/>
          <w:szCs w:val="23"/>
          <w:lang w:val="uk-UA"/>
        </w:rPr>
        <w:t xml:space="preserve">; Секретарем позачергових Загальних Зборів акціонерів АТ "ФОЗЗІ ГРУП" – </w:t>
      </w:r>
      <w:r w:rsidRPr="00B2593A">
        <w:rPr>
          <w:bCs/>
          <w:i/>
          <w:snapToGrid w:val="0"/>
          <w:sz w:val="23"/>
          <w:szCs w:val="23"/>
          <w:lang w:val="uk-UA"/>
        </w:rPr>
        <w:t>Гнатенка Юрія Петровича</w:t>
      </w:r>
      <w:r w:rsidRPr="00B2593A">
        <w:rPr>
          <w:bCs/>
          <w:i/>
          <w:sz w:val="23"/>
          <w:szCs w:val="23"/>
          <w:lang w:val="uk-UA"/>
        </w:rPr>
        <w:t>.</w:t>
      </w:r>
    </w:p>
    <w:p w:rsidR="00DA0818" w:rsidRPr="00B2593A" w:rsidRDefault="00DA0818" w:rsidP="00DA0818">
      <w:pPr>
        <w:tabs>
          <w:tab w:val="left" w:pos="993"/>
        </w:tabs>
        <w:ind w:firstLine="567"/>
        <w:jc w:val="both"/>
        <w:rPr>
          <w:bCs/>
          <w:i/>
          <w:iCs/>
          <w:sz w:val="23"/>
          <w:szCs w:val="23"/>
          <w:lang w:val="uk-UA"/>
        </w:rPr>
      </w:pPr>
      <w:r w:rsidRPr="00B2593A">
        <w:rPr>
          <w:bCs/>
          <w:i/>
          <w:sz w:val="23"/>
          <w:szCs w:val="23"/>
          <w:lang w:val="uk-UA"/>
        </w:rPr>
        <w:t>3) Затвердити наступний регламент роботи позачергових Загальних зборів</w:t>
      </w:r>
      <w:r w:rsidRPr="00B2593A">
        <w:rPr>
          <w:bCs/>
          <w:i/>
          <w:iCs/>
          <w:sz w:val="23"/>
          <w:szCs w:val="23"/>
          <w:lang w:val="uk-UA"/>
        </w:rPr>
        <w:t>:</w:t>
      </w:r>
    </w:p>
    <w:p w:rsidR="00DA0818" w:rsidRPr="00B2593A" w:rsidRDefault="00DA0818" w:rsidP="00DA0818">
      <w:pPr>
        <w:tabs>
          <w:tab w:val="left" w:pos="993"/>
        </w:tabs>
        <w:ind w:firstLine="567"/>
        <w:jc w:val="both"/>
        <w:rPr>
          <w:bCs/>
          <w:i/>
          <w:iCs/>
          <w:sz w:val="23"/>
          <w:szCs w:val="23"/>
          <w:lang w:val="uk-UA"/>
        </w:rPr>
      </w:pPr>
      <w:r w:rsidRPr="00B2593A">
        <w:rPr>
          <w:bCs/>
          <w:i/>
          <w:iCs/>
          <w:sz w:val="23"/>
          <w:szCs w:val="23"/>
          <w:lang w:val="uk-UA"/>
        </w:rPr>
        <w:t>- голосування по всім питанням порядку денного проводити відкрито бюлетенями для голосування затвердженої форми;</w:t>
      </w:r>
    </w:p>
    <w:p w:rsidR="00DA0818" w:rsidRPr="00B2593A" w:rsidRDefault="00DA0818" w:rsidP="00DA0818">
      <w:pPr>
        <w:tabs>
          <w:tab w:val="left" w:pos="993"/>
        </w:tabs>
        <w:ind w:firstLine="567"/>
        <w:jc w:val="both"/>
        <w:rPr>
          <w:bCs/>
          <w:i/>
          <w:iCs/>
          <w:sz w:val="23"/>
          <w:szCs w:val="23"/>
          <w:lang w:val="uk-UA"/>
        </w:rPr>
      </w:pPr>
      <w:r w:rsidRPr="00B2593A">
        <w:rPr>
          <w:bCs/>
          <w:i/>
          <w:iCs/>
          <w:sz w:val="23"/>
          <w:szCs w:val="23"/>
          <w:lang w:val="uk-UA"/>
        </w:rPr>
        <w:t>- основна доповідь – до 10 хвилин, співдоповідь – до 5 хвилин, відповіді на запитання – до 3-х хвилин;</w:t>
      </w:r>
    </w:p>
    <w:p w:rsidR="00DA0818" w:rsidRPr="00B2593A" w:rsidRDefault="00DA0818" w:rsidP="00DA0818">
      <w:pPr>
        <w:tabs>
          <w:tab w:val="left" w:pos="993"/>
        </w:tabs>
        <w:ind w:firstLine="567"/>
        <w:jc w:val="both"/>
        <w:rPr>
          <w:bCs/>
          <w:i/>
          <w:iCs/>
          <w:sz w:val="23"/>
          <w:szCs w:val="23"/>
          <w:lang w:val="uk-UA"/>
        </w:rPr>
      </w:pPr>
      <w:r w:rsidRPr="00B2593A">
        <w:rPr>
          <w:bCs/>
          <w:i/>
          <w:iCs/>
          <w:sz w:val="23"/>
          <w:szCs w:val="23"/>
          <w:lang w:val="uk-UA"/>
        </w:rPr>
        <w:t>- запитання до доповідачів та співдоповідачів ставляться в письмовій формі. Питання повинні бути сформульовані коротко, чітко та не містити оцінки доповіді або доповідача. Питання тим, хто виступає в дебатах, не ставляться;</w:t>
      </w:r>
    </w:p>
    <w:p w:rsidR="00DA0818" w:rsidRPr="00B2593A" w:rsidRDefault="00DA0818" w:rsidP="00DA0818">
      <w:pPr>
        <w:tabs>
          <w:tab w:val="left" w:pos="993"/>
        </w:tabs>
        <w:ind w:firstLine="567"/>
        <w:jc w:val="both"/>
        <w:rPr>
          <w:bCs/>
          <w:iCs/>
          <w:sz w:val="23"/>
          <w:szCs w:val="23"/>
          <w:lang w:val="uk-UA"/>
        </w:rPr>
      </w:pPr>
      <w:r w:rsidRPr="00B2593A">
        <w:rPr>
          <w:bCs/>
          <w:i/>
          <w:iCs/>
          <w:sz w:val="23"/>
          <w:szCs w:val="23"/>
          <w:lang w:val="uk-UA"/>
        </w:rPr>
        <w:t>- акціонер може виступати тільки з питання, яке обговорюється.</w:t>
      </w:r>
      <w:r w:rsidRPr="00B2593A">
        <w:rPr>
          <w:bCs/>
          <w:i/>
          <w:sz w:val="23"/>
          <w:szCs w:val="23"/>
          <w:lang w:val="uk-UA"/>
        </w:rPr>
        <w:t>.</w:t>
      </w:r>
    </w:p>
    <w:p w:rsidR="00DA0818" w:rsidRPr="00B2593A" w:rsidRDefault="00DA0818" w:rsidP="00DA0818">
      <w:pPr>
        <w:tabs>
          <w:tab w:val="left" w:pos="993"/>
        </w:tabs>
        <w:ind w:firstLine="567"/>
        <w:jc w:val="both"/>
        <w:rPr>
          <w:bCs/>
          <w:iCs/>
          <w:sz w:val="23"/>
          <w:szCs w:val="23"/>
          <w:lang w:val="uk-UA"/>
        </w:rPr>
      </w:pPr>
    </w:p>
    <w:p w:rsidR="00DA0818" w:rsidRPr="00B2593A" w:rsidRDefault="00DA0818" w:rsidP="00DA0818">
      <w:pPr>
        <w:tabs>
          <w:tab w:val="left" w:pos="993"/>
        </w:tabs>
        <w:ind w:firstLine="567"/>
        <w:jc w:val="both"/>
        <w:rPr>
          <w:bCs/>
          <w:iCs/>
          <w:spacing w:val="-1"/>
          <w:sz w:val="23"/>
          <w:szCs w:val="23"/>
          <w:lang w:val="uk-UA"/>
        </w:rPr>
      </w:pPr>
      <w:r w:rsidRPr="00B2593A">
        <w:rPr>
          <w:bCs/>
          <w:iCs/>
          <w:spacing w:val="-1"/>
          <w:sz w:val="23"/>
          <w:szCs w:val="23"/>
          <w:lang w:val="uk-UA"/>
        </w:rPr>
        <w:t>Голосування проводиться бюлетенем для голосування №1.</w:t>
      </w:r>
    </w:p>
    <w:p w:rsidR="00DA0818" w:rsidRPr="00B2593A" w:rsidRDefault="00DA0818" w:rsidP="00DA0818">
      <w:pPr>
        <w:tabs>
          <w:tab w:val="left" w:pos="993"/>
        </w:tabs>
        <w:ind w:firstLine="567"/>
        <w:jc w:val="both"/>
        <w:rPr>
          <w:rStyle w:val="FontStyle27"/>
          <w:sz w:val="23"/>
          <w:szCs w:val="23"/>
          <w:lang w:val="uk-UA"/>
        </w:rPr>
      </w:pPr>
      <w:r w:rsidRPr="00B2593A">
        <w:rPr>
          <w:rStyle w:val="FontStyle27"/>
          <w:sz w:val="23"/>
          <w:szCs w:val="23"/>
          <w:lang w:val="uk-UA"/>
        </w:rPr>
        <w:t>Рішення приймається простою більшістю голосів акціонерів, які зареєструвалися для участі у Загальних зборах та є власниками голосуючих з цього питання акцій.</w:t>
      </w:r>
    </w:p>
    <w:p w:rsidR="00DA0818" w:rsidRPr="00B2593A" w:rsidRDefault="00DA0818" w:rsidP="00DA0818">
      <w:pPr>
        <w:ind w:firstLine="567"/>
        <w:rPr>
          <w:b/>
          <w:iCs/>
          <w:sz w:val="23"/>
          <w:szCs w:val="23"/>
          <w:lang w:val="uk-UA"/>
        </w:rPr>
      </w:pPr>
      <w:r w:rsidRPr="00B2593A">
        <w:rPr>
          <w:b/>
          <w:iCs/>
          <w:sz w:val="23"/>
          <w:szCs w:val="23"/>
          <w:lang w:val="uk-UA"/>
        </w:rPr>
        <w:t>Результати голосування:</w:t>
      </w:r>
    </w:p>
    <w:p w:rsidR="00DA0818" w:rsidRPr="00B2593A" w:rsidRDefault="00DA0818" w:rsidP="00DA0818">
      <w:pPr>
        <w:ind w:firstLine="567"/>
        <w:jc w:val="both"/>
        <w:rPr>
          <w:b/>
          <w:sz w:val="23"/>
          <w:szCs w:val="23"/>
          <w:lang w:val="uk-UA"/>
        </w:rPr>
      </w:pPr>
      <w:r w:rsidRPr="00B2593A">
        <w:rPr>
          <w:b/>
          <w:sz w:val="23"/>
          <w:szCs w:val="23"/>
          <w:lang w:val="uk-UA"/>
        </w:rPr>
        <w:t xml:space="preserve">"За" – </w:t>
      </w:r>
      <w:r>
        <w:rPr>
          <w:sz w:val="23"/>
          <w:szCs w:val="23"/>
          <w:lang w:val="uk-UA"/>
        </w:rPr>
        <w:t>31 861 760</w:t>
      </w:r>
      <w:r w:rsidRPr="00B2593A">
        <w:rPr>
          <w:sz w:val="23"/>
          <w:szCs w:val="23"/>
          <w:lang w:val="uk-UA"/>
        </w:rPr>
        <w:t xml:space="preserve"> голосів, що складає 100 % голосів акціонерів, які зареєструвалися для участі у Загальних зборах та є власниками голосуючих з цього питання акцій.</w:t>
      </w:r>
      <w:r w:rsidRPr="00B2593A">
        <w:rPr>
          <w:b/>
          <w:sz w:val="23"/>
          <w:szCs w:val="23"/>
          <w:lang w:val="uk-UA"/>
        </w:rPr>
        <w:t xml:space="preserve">  </w:t>
      </w:r>
    </w:p>
    <w:p w:rsidR="00DA0818" w:rsidRPr="00B2593A" w:rsidRDefault="00DA0818" w:rsidP="00DA0818">
      <w:pPr>
        <w:ind w:firstLine="567"/>
        <w:jc w:val="both"/>
        <w:rPr>
          <w:b/>
          <w:sz w:val="23"/>
          <w:szCs w:val="23"/>
          <w:lang w:val="uk-UA"/>
        </w:rPr>
      </w:pPr>
      <w:r w:rsidRPr="00B2593A">
        <w:rPr>
          <w:b/>
          <w:sz w:val="23"/>
          <w:szCs w:val="23"/>
          <w:lang w:val="uk-UA"/>
        </w:rPr>
        <w:t xml:space="preserve">"Проти" – </w:t>
      </w:r>
      <w:r w:rsidRPr="00B2593A">
        <w:rPr>
          <w:sz w:val="23"/>
          <w:szCs w:val="23"/>
          <w:lang w:val="uk-UA"/>
        </w:rPr>
        <w:t>0 голосів, що складає 0 %</w:t>
      </w:r>
      <w:r w:rsidRPr="00B2593A">
        <w:rPr>
          <w:b/>
          <w:sz w:val="23"/>
          <w:szCs w:val="23"/>
          <w:lang w:val="uk-UA"/>
        </w:rPr>
        <w:t xml:space="preserve"> </w:t>
      </w:r>
      <w:r w:rsidRPr="00B2593A">
        <w:rPr>
          <w:sz w:val="23"/>
          <w:szCs w:val="23"/>
          <w:lang w:val="uk-UA"/>
        </w:rPr>
        <w:t>голосів акціонерів, які зареєструвалися для участі у Загальних зборах та є власниками голосуючих з цього питання акцій.</w:t>
      </w:r>
    </w:p>
    <w:p w:rsidR="00DA0818" w:rsidRPr="00B2593A" w:rsidRDefault="00DA0818" w:rsidP="00DA0818">
      <w:pPr>
        <w:ind w:firstLine="567"/>
        <w:jc w:val="both"/>
        <w:rPr>
          <w:sz w:val="23"/>
          <w:szCs w:val="23"/>
          <w:lang w:val="uk-UA"/>
        </w:rPr>
      </w:pPr>
      <w:r w:rsidRPr="00B2593A">
        <w:rPr>
          <w:b/>
          <w:sz w:val="23"/>
          <w:szCs w:val="23"/>
          <w:lang w:val="uk-UA"/>
        </w:rPr>
        <w:t xml:space="preserve">"Утримались" – </w:t>
      </w:r>
      <w:r w:rsidRPr="00B2593A">
        <w:rPr>
          <w:sz w:val="23"/>
          <w:szCs w:val="23"/>
          <w:lang w:val="uk-UA"/>
        </w:rPr>
        <w:t>0 голосів, що складає 0 %</w:t>
      </w:r>
      <w:r w:rsidRPr="00B2593A">
        <w:rPr>
          <w:b/>
          <w:sz w:val="23"/>
          <w:szCs w:val="23"/>
          <w:lang w:val="uk-UA"/>
        </w:rPr>
        <w:t xml:space="preserve"> </w:t>
      </w:r>
      <w:r w:rsidRPr="00B2593A">
        <w:rPr>
          <w:sz w:val="23"/>
          <w:szCs w:val="23"/>
          <w:lang w:val="uk-UA"/>
        </w:rPr>
        <w:t>голосів акціонерів, які зареєструвалися для участі у Загальних зборах та є власниками голосуючих з цього питання акцій.</w:t>
      </w:r>
    </w:p>
    <w:p w:rsidR="00DA0818" w:rsidRPr="00B2593A" w:rsidRDefault="00DA0818" w:rsidP="00DA0818">
      <w:pPr>
        <w:ind w:firstLine="567"/>
        <w:jc w:val="both"/>
        <w:rPr>
          <w:sz w:val="23"/>
          <w:szCs w:val="23"/>
          <w:lang w:val="uk-UA"/>
        </w:rPr>
      </w:pPr>
      <w:r w:rsidRPr="00B2593A">
        <w:rPr>
          <w:b/>
          <w:sz w:val="23"/>
          <w:szCs w:val="23"/>
          <w:lang w:val="uk-UA"/>
        </w:rPr>
        <w:t>не голосувало</w:t>
      </w:r>
      <w:r w:rsidRPr="00B2593A">
        <w:rPr>
          <w:sz w:val="23"/>
          <w:szCs w:val="23"/>
          <w:lang w:val="uk-UA"/>
        </w:rPr>
        <w:t xml:space="preserve">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акцій;</w:t>
      </w:r>
    </w:p>
    <w:p w:rsidR="00DA0818" w:rsidRPr="00B2593A" w:rsidRDefault="00DA0818" w:rsidP="00DA0818">
      <w:pPr>
        <w:ind w:firstLine="567"/>
        <w:jc w:val="both"/>
        <w:rPr>
          <w:sz w:val="23"/>
          <w:szCs w:val="23"/>
          <w:lang w:val="uk-UA"/>
        </w:rPr>
      </w:pPr>
      <w:r w:rsidRPr="00B2593A">
        <w:rPr>
          <w:b/>
          <w:sz w:val="23"/>
          <w:szCs w:val="23"/>
          <w:lang w:val="uk-UA"/>
        </w:rPr>
        <w:t>визнано недійсними</w:t>
      </w:r>
      <w:r w:rsidRPr="00B2593A">
        <w:rPr>
          <w:sz w:val="23"/>
          <w:szCs w:val="23"/>
          <w:lang w:val="uk-UA"/>
        </w:rPr>
        <w:t xml:space="preserve"> - 0 (нуль) голосів акціонерів, що становить 0% голосів акціонерів, що зареєструвались для участі у Загальних зборах акціонерів та є власниками голосуючих з цього питання акцій.</w:t>
      </w:r>
    </w:p>
    <w:p w:rsidR="00DA0818" w:rsidRPr="00B2593A" w:rsidRDefault="00DA0818" w:rsidP="00DA0818">
      <w:pPr>
        <w:ind w:firstLine="567"/>
        <w:rPr>
          <w:b/>
          <w:sz w:val="23"/>
          <w:szCs w:val="23"/>
          <w:lang w:val="uk-UA"/>
        </w:rPr>
      </w:pPr>
      <w:r w:rsidRPr="00B2593A">
        <w:rPr>
          <w:b/>
          <w:sz w:val="23"/>
          <w:szCs w:val="23"/>
          <w:lang w:val="uk-UA"/>
        </w:rPr>
        <w:t>Рішення прийнято.</w:t>
      </w:r>
    </w:p>
    <w:p w:rsidR="00DA0818" w:rsidRPr="00B2593A" w:rsidRDefault="00DA0818" w:rsidP="00DA0818">
      <w:pPr>
        <w:ind w:firstLine="567"/>
        <w:rPr>
          <w:b/>
          <w:sz w:val="23"/>
          <w:szCs w:val="23"/>
          <w:u w:val="single"/>
          <w:lang w:val="uk-UA"/>
        </w:rPr>
      </w:pPr>
      <w:r w:rsidRPr="00B2593A">
        <w:rPr>
          <w:b/>
          <w:sz w:val="23"/>
          <w:szCs w:val="23"/>
          <w:u w:val="single"/>
          <w:lang w:val="uk-UA"/>
        </w:rPr>
        <w:t>Вирішили:</w:t>
      </w:r>
    </w:p>
    <w:p w:rsidR="00DA0818" w:rsidRPr="00DA0818" w:rsidRDefault="00DA0818" w:rsidP="00DA0818">
      <w:pPr>
        <w:tabs>
          <w:tab w:val="left" w:pos="993"/>
        </w:tabs>
        <w:ind w:firstLine="567"/>
        <w:jc w:val="both"/>
        <w:rPr>
          <w:sz w:val="23"/>
          <w:szCs w:val="23"/>
          <w:lang w:val="uk-UA"/>
        </w:rPr>
      </w:pPr>
      <w:r w:rsidRPr="00DA0818">
        <w:rPr>
          <w:sz w:val="23"/>
          <w:szCs w:val="23"/>
          <w:lang w:val="uk-UA"/>
        </w:rPr>
        <w:t>1) Обрати наступний склад Лічильної комісії: Голова Лічильної комісії – Казанцева Альона Олександрівна, член Лічильної комісії – Микитюк Тетяна Петрівна. Повноваження Лічильної комісії чинні з моменту обрання та припиняються з моменту закінчення Загальних зборів акціонерів.</w:t>
      </w:r>
    </w:p>
    <w:p w:rsidR="00DA0818" w:rsidRPr="00DA0818" w:rsidRDefault="00DA0818" w:rsidP="00DA0818">
      <w:pPr>
        <w:tabs>
          <w:tab w:val="left" w:pos="993"/>
        </w:tabs>
        <w:ind w:firstLine="567"/>
        <w:jc w:val="both"/>
        <w:rPr>
          <w:sz w:val="23"/>
          <w:szCs w:val="23"/>
          <w:lang w:val="uk-UA"/>
        </w:rPr>
      </w:pPr>
      <w:r w:rsidRPr="00DA0818">
        <w:rPr>
          <w:sz w:val="23"/>
          <w:szCs w:val="23"/>
          <w:lang w:val="uk-UA"/>
        </w:rPr>
        <w:t>2) Обрати Головою позачергових Загальних Зборів акціонерів АТ "ФОЗЗІ ГРУП" – Кострому Вікторію Василівну; Секретарем позачергових Загальних Зборів акціонерів АТ "ФОЗЗІ ГРУП" – Гнатенка Юрія Петровича.</w:t>
      </w:r>
    </w:p>
    <w:p w:rsidR="00DA0818" w:rsidRPr="00DA0818" w:rsidRDefault="00DA0818" w:rsidP="00DA0818">
      <w:pPr>
        <w:tabs>
          <w:tab w:val="left" w:pos="993"/>
        </w:tabs>
        <w:ind w:firstLine="567"/>
        <w:jc w:val="both"/>
        <w:rPr>
          <w:sz w:val="23"/>
          <w:szCs w:val="23"/>
          <w:lang w:val="uk-UA"/>
        </w:rPr>
      </w:pPr>
      <w:r w:rsidRPr="00DA0818">
        <w:rPr>
          <w:sz w:val="23"/>
          <w:szCs w:val="23"/>
          <w:lang w:val="uk-UA"/>
        </w:rPr>
        <w:t>3) Затвердити наступний регламент роботи позачергових Загальних зборів:</w:t>
      </w:r>
    </w:p>
    <w:p w:rsidR="00DA0818" w:rsidRPr="00DA0818" w:rsidRDefault="00DA0818" w:rsidP="00DA0818">
      <w:pPr>
        <w:tabs>
          <w:tab w:val="left" w:pos="993"/>
        </w:tabs>
        <w:ind w:firstLine="567"/>
        <w:jc w:val="both"/>
        <w:rPr>
          <w:sz w:val="23"/>
          <w:szCs w:val="23"/>
          <w:lang w:val="uk-UA"/>
        </w:rPr>
      </w:pPr>
      <w:r w:rsidRPr="00DA0818">
        <w:rPr>
          <w:sz w:val="23"/>
          <w:szCs w:val="23"/>
          <w:lang w:val="uk-UA"/>
        </w:rPr>
        <w:t>- голосування по всім питанням порядку денного проводити відкрито бюлетенями для голосування затвердженої форми;</w:t>
      </w:r>
    </w:p>
    <w:p w:rsidR="00DA0818" w:rsidRPr="00DA0818" w:rsidRDefault="00DA0818" w:rsidP="00DA0818">
      <w:pPr>
        <w:tabs>
          <w:tab w:val="left" w:pos="993"/>
        </w:tabs>
        <w:ind w:firstLine="567"/>
        <w:jc w:val="both"/>
        <w:rPr>
          <w:sz w:val="23"/>
          <w:szCs w:val="23"/>
          <w:lang w:val="uk-UA"/>
        </w:rPr>
      </w:pPr>
      <w:r w:rsidRPr="00DA0818">
        <w:rPr>
          <w:sz w:val="23"/>
          <w:szCs w:val="23"/>
          <w:lang w:val="uk-UA"/>
        </w:rPr>
        <w:t>- основна доповідь – до 10 хвилин, співдоповідь – до 5 хвилин, відповіді на запитання – до 3-х хвилин;</w:t>
      </w:r>
    </w:p>
    <w:p w:rsidR="00DA0818" w:rsidRPr="00DA0818" w:rsidRDefault="00DA0818" w:rsidP="00DA0818">
      <w:pPr>
        <w:tabs>
          <w:tab w:val="left" w:pos="993"/>
        </w:tabs>
        <w:ind w:firstLine="567"/>
        <w:jc w:val="both"/>
        <w:rPr>
          <w:sz w:val="23"/>
          <w:szCs w:val="23"/>
          <w:lang w:val="uk-UA"/>
        </w:rPr>
      </w:pPr>
      <w:r w:rsidRPr="00DA0818">
        <w:rPr>
          <w:sz w:val="23"/>
          <w:szCs w:val="23"/>
          <w:lang w:val="uk-UA"/>
        </w:rPr>
        <w:lastRenderedPageBreak/>
        <w:t>- запитання до доповідачів та співдоповідачів ставляться в письмовій формі. Питання повинні бути сформульовані коротко, чітко та не містити оцінки доповіді або доповідача. Питання тим, хто виступає в дебатах, не ставляться;</w:t>
      </w:r>
    </w:p>
    <w:p w:rsidR="00DA0818" w:rsidRPr="00DA0818" w:rsidRDefault="00DA0818" w:rsidP="00DA0818">
      <w:pPr>
        <w:tabs>
          <w:tab w:val="left" w:pos="993"/>
        </w:tabs>
        <w:ind w:firstLine="567"/>
        <w:jc w:val="both"/>
        <w:rPr>
          <w:sz w:val="23"/>
          <w:szCs w:val="23"/>
          <w:lang w:val="uk-UA"/>
        </w:rPr>
      </w:pPr>
      <w:r w:rsidRPr="00DA0818">
        <w:rPr>
          <w:sz w:val="23"/>
          <w:szCs w:val="23"/>
          <w:lang w:val="uk-UA"/>
        </w:rPr>
        <w:t>- акціонер може виступати тільки з питання, яке обговорюється.</w:t>
      </w:r>
    </w:p>
    <w:p w:rsidR="00DA0818" w:rsidRDefault="00DA0818" w:rsidP="007A39E6">
      <w:pPr>
        <w:pStyle w:val="1"/>
        <w:spacing w:line="240" w:lineRule="auto"/>
        <w:ind w:firstLine="567"/>
        <w:jc w:val="both"/>
        <w:rPr>
          <w:sz w:val="23"/>
          <w:szCs w:val="23"/>
        </w:rPr>
      </w:pPr>
    </w:p>
    <w:p w:rsidR="001C335A" w:rsidRDefault="001C335A" w:rsidP="007A39E6">
      <w:pPr>
        <w:pStyle w:val="1"/>
        <w:spacing w:line="240" w:lineRule="auto"/>
        <w:ind w:firstLine="567"/>
        <w:jc w:val="both"/>
        <w:rPr>
          <w:b/>
          <w:sz w:val="23"/>
          <w:szCs w:val="23"/>
        </w:rPr>
      </w:pPr>
      <w:r w:rsidRPr="00DA0818">
        <w:rPr>
          <w:b/>
          <w:sz w:val="23"/>
          <w:szCs w:val="23"/>
        </w:rPr>
        <w:t xml:space="preserve">2. </w:t>
      </w:r>
      <w:r w:rsidR="007E74F3" w:rsidRPr="00DA0818">
        <w:rPr>
          <w:b/>
          <w:sz w:val="23"/>
          <w:szCs w:val="23"/>
        </w:rPr>
        <w:t>Про прийняття рішення про вчинення АТ «ФОЗЗІ ГРУП» значних правочинів та правочинів, щодо вчинення яких є заінтересованість, що пов'язані із залученням ТОВ «СІЛЬПО-ФУД» (код ЄДРПОУ 40720198) та ТОВ «ФОРА» (код ЄДРПОУ 32294897) фінансування від Європейського банку реконструкції та розвитку (надалі – ЄБРР).</w:t>
      </w:r>
    </w:p>
    <w:p w:rsidR="00DA0818" w:rsidRPr="00DA0818" w:rsidRDefault="00DA0818" w:rsidP="007A39E6">
      <w:pPr>
        <w:pStyle w:val="1"/>
        <w:spacing w:line="240" w:lineRule="auto"/>
        <w:ind w:firstLine="567"/>
        <w:jc w:val="both"/>
        <w:rPr>
          <w:sz w:val="23"/>
          <w:szCs w:val="23"/>
          <w:u w:val="single"/>
        </w:rPr>
      </w:pPr>
      <w:r w:rsidRPr="00DA0818">
        <w:rPr>
          <w:sz w:val="23"/>
          <w:szCs w:val="23"/>
          <w:u w:val="single"/>
        </w:rPr>
        <w:t>Проект рішення:</w:t>
      </w:r>
    </w:p>
    <w:p w:rsidR="002705F9" w:rsidRPr="00B2593A" w:rsidRDefault="002705F9" w:rsidP="002705F9">
      <w:pPr>
        <w:ind w:firstLine="567"/>
        <w:jc w:val="both"/>
        <w:rPr>
          <w:i/>
          <w:color w:val="000000"/>
          <w:sz w:val="23"/>
          <w:szCs w:val="23"/>
          <w:lang w:val="uk-UA"/>
        </w:rPr>
      </w:pPr>
      <w:r w:rsidRPr="00B2593A">
        <w:rPr>
          <w:i/>
          <w:color w:val="000000"/>
          <w:sz w:val="23"/>
          <w:szCs w:val="23"/>
          <w:lang w:val="uk-UA"/>
        </w:rPr>
        <w:t xml:space="preserve">2.1 Прийняти рішення про вчинення АТ «ФОЗЗІ ГРУП» значних правочинів, що пов’язані із (1) залученням </w:t>
      </w:r>
      <w:r w:rsidRPr="00B2593A">
        <w:rPr>
          <w:i/>
          <w:color w:val="000000"/>
          <w:spacing w:val="3"/>
          <w:sz w:val="23"/>
          <w:szCs w:val="23"/>
          <w:lang w:val="uk-UA"/>
        </w:rPr>
        <w:t>ТОВ «Сільпо-</w:t>
      </w:r>
      <w:proofErr w:type="spellStart"/>
      <w:r w:rsidRPr="00B2593A">
        <w:rPr>
          <w:i/>
          <w:color w:val="000000"/>
          <w:spacing w:val="3"/>
          <w:sz w:val="23"/>
          <w:szCs w:val="23"/>
          <w:lang w:val="uk-UA"/>
        </w:rPr>
        <w:t>Фуд</w:t>
      </w:r>
      <w:proofErr w:type="spellEnd"/>
      <w:r w:rsidRPr="00B2593A">
        <w:rPr>
          <w:i/>
          <w:color w:val="000000"/>
          <w:spacing w:val="3"/>
          <w:sz w:val="23"/>
          <w:szCs w:val="23"/>
          <w:lang w:val="uk-UA"/>
        </w:rPr>
        <w:t>» (</w:t>
      </w:r>
      <w:r w:rsidRPr="00B2593A">
        <w:rPr>
          <w:i/>
          <w:sz w:val="23"/>
          <w:szCs w:val="23"/>
          <w:lang w:val="uk-UA"/>
        </w:rPr>
        <w:t>код ЄДРПОУ 40720198</w:t>
      </w:r>
      <w:r w:rsidRPr="00B2593A">
        <w:rPr>
          <w:i/>
          <w:color w:val="000000"/>
          <w:spacing w:val="3"/>
          <w:sz w:val="23"/>
          <w:szCs w:val="23"/>
          <w:lang w:val="uk-UA"/>
        </w:rPr>
        <w:t xml:space="preserve">) </w:t>
      </w:r>
      <w:r w:rsidRPr="00B2593A">
        <w:rPr>
          <w:i/>
          <w:sz w:val="23"/>
          <w:szCs w:val="23"/>
          <w:lang w:val="uk-UA"/>
        </w:rPr>
        <w:t>фінансування від Європейського банку реконструкції та розвитку (надалі –</w:t>
      </w:r>
      <w:r w:rsidRPr="00B2593A">
        <w:rPr>
          <w:b/>
          <w:bCs/>
          <w:i/>
          <w:sz w:val="23"/>
          <w:szCs w:val="23"/>
          <w:lang w:val="uk-UA"/>
        </w:rPr>
        <w:t xml:space="preserve"> ЄБРР</w:t>
      </w:r>
      <w:r w:rsidRPr="00B2593A">
        <w:rPr>
          <w:i/>
          <w:sz w:val="23"/>
          <w:szCs w:val="23"/>
          <w:lang w:val="uk-UA"/>
        </w:rPr>
        <w:t xml:space="preserve">) на загальну суму, що не перевищує еквівалент </w:t>
      </w:r>
      <w:r w:rsidRPr="00B2593A">
        <w:rPr>
          <w:i/>
          <w:color w:val="000000"/>
          <w:spacing w:val="3"/>
          <w:sz w:val="23"/>
          <w:szCs w:val="23"/>
          <w:lang w:val="uk-UA"/>
        </w:rPr>
        <w:t xml:space="preserve">40 </w:t>
      </w:r>
      <w:r w:rsidRPr="00B2593A">
        <w:rPr>
          <w:i/>
          <w:sz w:val="23"/>
          <w:szCs w:val="23"/>
          <w:lang w:val="uk-UA"/>
        </w:rPr>
        <w:t xml:space="preserve">мільйонів доларів США, </w:t>
      </w:r>
      <w:r w:rsidRPr="00B2593A">
        <w:rPr>
          <w:i/>
          <w:color w:val="000000"/>
          <w:spacing w:val="3"/>
          <w:sz w:val="23"/>
          <w:szCs w:val="23"/>
          <w:lang w:val="uk-UA"/>
        </w:rPr>
        <w:t>та (2) залученням ТОВ «Фора» (</w:t>
      </w:r>
      <w:r w:rsidRPr="00B2593A">
        <w:rPr>
          <w:i/>
          <w:sz w:val="23"/>
          <w:szCs w:val="23"/>
          <w:lang w:val="uk-UA"/>
        </w:rPr>
        <w:t>код ЄДРПОУ 32294897) (надалі разом із ТОВ «Сільпо-</w:t>
      </w:r>
      <w:proofErr w:type="spellStart"/>
      <w:r w:rsidRPr="00B2593A">
        <w:rPr>
          <w:i/>
          <w:sz w:val="23"/>
          <w:szCs w:val="23"/>
          <w:lang w:val="uk-UA"/>
        </w:rPr>
        <w:t>Фуд</w:t>
      </w:r>
      <w:proofErr w:type="spellEnd"/>
      <w:r w:rsidRPr="00B2593A">
        <w:rPr>
          <w:i/>
          <w:sz w:val="23"/>
          <w:szCs w:val="23"/>
          <w:lang w:val="uk-UA"/>
        </w:rPr>
        <w:t>» –</w:t>
      </w:r>
      <w:r w:rsidRPr="00B2593A">
        <w:rPr>
          <w:b/>
          <w:bCs/>
          <w:i/>
          <w:sz w:val="23"/>
          <w:szCs w:val="23"/>
          <w:lang w:val="uk-UA"/>
        </w:rPr>
        <w:t xml:space="preserve"> Позичальники</w:t>
      </w:r>
      <w:r w:rsidRPr="00B2593A">
        <w:rPr>
          <w:i/>
          <w:sz w:val="23"/>
          <w:szCs w:val="23"/>
          <w:lang w:val="uk-UA"/>
        </w:rPr>
        <w:t>) фінансування від ЄБРР на загальну суму, що не перевищує еквівалент 20 мільйонів доларів США (надалі разом –</w:t>
      </w:r>
      <w:r w:rsidRPr="00B2593A">
        <w:rPr>
          <w:b/>
          <w:bCs/>
          <w:i/>
          <w:sz w:val="23"/>
          <w:szCs w:val="23"/>
          <w:lang w:val="uk-UA"/>
        </w:rPr>
        <w:t xml:space="preserve"> Фінансування</w:t>
      </w:r>
      <w:r w:rsidRPr="00B2593A">
        <w:rPr>
          <w:i/>
          <w:sz w:val="23"/>
          <w:szCs w:val="23"/>
          <w:lang w:val="uk-UA"/>
        </w:rPr>
        <w:t>)</w:t>
      </w:r>
      <w:r w:rsidRPr="00B2593A">
        <w:rPr>
          <w:i/>
          <w:color w:val="000000"/>
          <w:sz w:val="23"/>
          <w:szCs w:val="23"/>
          <w:lang w:val="uk-UA"/>
        </w:rPr>
        <w:t>, щодо надання АТ «ФОЗЗІ ГРУП» поруки з метою забезпечення виконання будь-яких та всіх зобов’язань</w:t>
      </w:r>
      <w:r w:rsidRPr="00B2593A">
        <w:rPr>
          <w:i/>
          <w:color w:val="000000"/>
          <w:spacing w:val="3"/>
          <w:sz w:val="23"/>
          <w:szCs w:val="23"/>
          <w:lang w:val="uk-UA"/>
        </w:rPr>
        <w:t xml:space="preserve"> </w:t>
      </w:r>
      <w:r w:rsidRPr="00B2593A">
        <w:rPr>
          <w:i/>
          <w:color w:val="000000"/>
          <w:sz w:val="23"/>
          <w:szCs w:val="23"/>
          <w:lang w:val="uk-UA"/>
        </w:rPr>
        <w:t>Позичальників за кредитними договорами з ЄБРР та іншими договорами фінансування (</w:t>
      </w:r>
      <w:r w:rsidRPr="00B2593A">
        <w:rPr>
          <w:i/>
          <w:color w:val="000000"/>
          <w:sz w:val="23"/>
          <w:szCs w:val="23"/>
          <w:lang w:val="en-US"/>
        </w:rPr>
        <w:t>Financing</w:t>
      </w:r>
      <w:r w:rsidRPr="00B2593A">
        <w:rPr>
          <w:i/>
          <w:color w:val="000000"/>
          <w:sz w:val="23"/>
          <w:szCs w:val="23"/>
          <w:lang w:val="uk-UA"/>
        </w:rPr>
        <w:t xml:space="preserve"> </w:t>
      </w:r>
      <w:r w:rsidRPr="00B2593A">
        <w:rPr>
          <w:i/>
          <w:color w:val="000000"/>
          <w:sz w:val="23"/>
          <w:szCs w:val="23"/>
          <w:lang w:val="en-US"/>
        </w:rPr>
        <w:t>Agreements</w:t>
      </w:r>
      <w:r w:rsidRPr="00B2593A">
        <w:rPr>
          <w:i/>
          <w:color w:val="000000"/>
          <w:sz w:val="23"/>
          <w:szCs w:val="23"/>
          <w:lang w:val="uk-UA"/>
        </w:rPr>
        <w:t>), як цей термін буде визначено у Договорах поруки (як визначено нижче), та, відповідно, надати згоду на укладення АТ «ФОЗЗІ ГРУП» в якості поручителя договорів поруки з, серед інших, ЄБРР (</w:t>
      </w:r>
      <w:r w:rsidRPr="00B2593A">
        <w:rPr>
          <w:b/>
          <w:bCs/>
          <w:i/>
          <w:color w:val="000000"/>
          <w:sz w:val="23"/>
          <w:szCs w:val="23"/>
          <w:lang w:val="uk-UA"/>
        </w:rPr>
        <w:t>надалі – Договори поруки</w:t>
      </w:r>
      <w:r w:rsidRPr="00B2593A">
        <w:rPr>
          <w:i/>
          <w:color w:val="000000"/>
          <w:sz w:val="23"/>
          <w:szCs w:val="23"/>
          <w:lang w:val="uk-UA"/>
        </w:rPr>
        <w:t>), а також на укладення будь-яких змін та доповнень до Договорів поруки, як це може бути необхідно відповідно до умов Фінансування та/або у зв’язку з Фінансуванням.</w:t>
      </w:r>
    </w:p>
    <w:p w:rsidR="002705F9" w:rsidRPr="00B2593A" w:rsidRDefault="002705F9" w:rsidP="002705F9">
      <w:pPr>
        <w:ind w:firstLine="567"/>
        <w:jc w:val="both"/>
        <w:rPr>
          <w:i/>
          <w:color w:val="000000"/>
          <w:sz w:val="23"/>
          <w:szCs w:val="23"/>
          <w:lang w:val="uk-UA"/>
        </w:rPr>
      </w:pPr>
      <w:r w:rsidRPr="00B2593A">
        <w:rPr>
          <w:i/>
          <w:color w:val="000000"/>
          <w:sz w:val="23"/>
          <w:szCs w:val="23"/>
          <w:lang w:val="uk-UA"/>
        </w:rPr>
        <w:t>2.2 Уповноважити Генерального директора АТ «ФОЗЗІ ГРУП» або уповноважену ним особу на підставі довіреності, у тому числі довіреності від 25 лютого 2020 року, посвідченої приватним нотаріусом Київського міського нотаріального округу Синицею Т.В. за реєстровим № 952, на власний розсуд вести переговори, визначати, остаточно погоджувати всі умови, підписувати, укладати від імені АТ «ФОЗЗІ ГРУП» Договори поруки, а також будь-які зміни та доповнення до Договорів поруки, а також вчиняти будь-які інші дії, укладати інші правочини та документи, як це може бути необхідно відповідно до умов Фінансування та/або у зв’язку із Фінансуванням.</w:t>
      </w:r>
    </w:p>
    <w:p w:rsidR="002705F9" w:rsidRPr="00B2593A" w:rsidRDefault="002705F9" w:rsidP="002705F9">
      <w:pPr>
        <w:ind w:firstLine="567"/>
        <w:jc w:val="both"/>
        <w:rPr>
          <w:i/>
          <w:color w:val="000000"/>
          <w:sz w:val="23"/>
          <w:szCs w:val="23"/>
          <w:lang w:val="uk-UA"/>
        </w:rPr>
      </w:pPr>
      <w:r w:rsidRPr="00B2593A">
        <w:rPr>
          <w:i/>
          <w:color w:val="000000"/>
          <w:sz w:val="23"/>
          <w:szCs w:val="23"/>
          <w:lang w:val="uk-UA"/>
        </w:rPr>
        <w:t>2.3 Прийняти рішення про вчинення АТ «ФОЗЗІ ГРУП» Договорів поруки як правочинів, щодо вчинення яких є заінтересованість, з урахуванням того, що Генеральний директор АТ «ФОЗЗІ ГРУП» або уповноважена ним особа на підставі довіреності, у тому числі довіреності від 25 лютого 2020 року, посвідченої приватним нотаріусом Київського міського нотаріального округу Синицею Т.В. за реєстровим № 952, може на свій розсуд змінювати та остаточно погоджувати усі умови проектів Договорів поруки, окрім наступних: (1) Договори поруки укладаються АТ «ФОЗЗІ ГРУП» з, окрім інших, ЄБРР; (2) Договорами поруки забезпечується виконання будь-яких та всіх зобов’язань</w:t>
      </w:r>
      <w:r w:rsidRPr="00B2593A">
        <w:rPr>
          <w:i/>
          <w:color w:val="000000"/>
          <w:spacing w:val="3"/>
          <w:sz w:val="23"/>
          <w:szCs w:val="23"/>
          <w:lang w:val="uk-UA"/>
        </w:rPr>
        <w:t xml:space="preserve"> </w:t>
      </w:r>
      <w:r w:rsidRPr="00B2593A">
        <w:rPr>
          <w:i/>
          <w:color w:val="000000"/>
          <w:sz w:val="23"/>
          <w:szCs w:val="23"/>
          <w:lang w:val="uk-UA"/>
        </w:rPr>
        <w:t>Позичальників за кредитними договорами з ЄБРР та іншими договорами фінансування (</w:t>
      </w:r>
      <w:r w:rsidRPr="00B2593A">
        <w:rPr>
          <w:i/>
          <w:color w:val="000000"/>
          <w:sz w:val="23"/>
          <w:szCs w:val="23"/>
          <w:lang w:val="en-US"/>
        </w:rPr>
        <w:t>Financing</w:t>
      </w:r>
      <w:r w:rsidRPr="00B2593A">
        <w:rPr>
          <w:i/>
          <w:color w:val="000000"/>
          <w:sz w:val="23"/>
          <w:szCs w:val="23"/>
          <w:lang w:val="uk-UA"/>
        </w:rPr>
        <w:t xml:space="preserve"> </w:t>
      </w:r>
      <w:r w:rsidRPr="00B2593A">
        <w:rPr>
          <w:i/>
          <w:color w:val="000000"/>
          <w:sz w:val="23"/>
          <w:szCs w:val="23"/>
          <w:lang w:val="en-US"/>
        </w:rPr>
        <w:t>Agreements</w:t>
      </w:r>
      <w:r w:rsidRPr="00B2593A">
        <w:rPr>
          <w:i/>
          <w:color w:val="000000"/>
          <w:sz w:val="23"/>
          <w:szCs w:val="23"/>
          <w:lang w:val="uk-UA"/>
        </w:rPr>
        <w:t>), як цей термін буде визначено у Договорах поруки; та (3) параметри Фінансування, зобов’язання стосовно якого забезпечуються порукою АТ «ФОЗЗІ ГРУП», становлять не більше:</w:t>
      </w:r>
    </w:p>
    <w:p w:rsidR="002705F9" w:rsidRPr="00B2593A" w:rsidRDefault="002705F9" w:rsidP="002705F9">
      <w:pPr>
        <w:tabs>
          <w:tab w:val="left" w:pos="993"/>
        </w:tabs>
        <w:ind w:firstLine="539"/>
        <w:jc w:val="both"/>
        <w:rPr>
          <w:bCs/>
          <w:i/>
          <w:iCs/>
          <w:sz w:val="23"/>
          <w:szCs w:val="23"/>
          <w:lang w:val="uk-UA"/>
        </w:rPr>
      </w:pPr>
      <w:r w:rsidRPr="00B2593A">
        <w:rPr>
          <w:bCs/>
          <w:i/>
          <w:iCs/>
          <w:sz w:val="23"/>
          <w:szCs w:val="23"/>
          <w:lang w:val="uk-UA"/>
        </w:rPr>
        <w:t xml:space="preserve">- </w:t>
      </w:r>
      <w:r w:rsidRPr="00B2593A">
        <w:rPr>
          <w:i/>
          <w:sz w:val="23"/>
          <w:szCs w:val="23"/>
          <w:lang w:val="uk-UA"/>
        </w:rPr>
        <w:t xml:space="preserve">еквівалент </w:t>
      </w:r>
      <w:r w:rsidRPr="00B2593A">
        <w:rPr>
          <w:bCs/>
          <w:i/>
          <w:iCs/>
          <w:sz w:val="23"/>
          <w:szCs w:val="23"/>
          <w:lang w:val="uk-UA"/>
        </w:rPr>
        <w:t>40 мільйонів доларів США – сукупна основна сума кредиту, що залучається ТОВ «Сільпо-</w:t>
      </w:r>
      <w:proofErr w:type="spellStart"/>
      <w:r w:rsidRPr="00B2593A">
        <w:rPr>
          <w:bCs/>
          <w:i/>
          <w:iCs/>
          <w:sz w:val="23"/>
          <w:szCs w:val="23"/>
          <w:lang w:val="uk-UA"/>
        </w:rPr>
        <w:t>Фуд</w:t>
      </w:r>
      <w:proofErr w:type="spellEnd"/>
      <w:r w:rsidRPr="00B2593A">
        <w:rPr>
          <w:bCs/>
          <w:i/>
          <w:iCs/>
          <w:sz w:val="23"/>
          <w:szCs w:val="23"/>
          <w:lang w:val="uk-UA"/>
        </w:rPr>
        <w:t>» (код ЄДРПОУ 40720198); та</w:t>
      </w:r>
    </w:p>
    <w:p w:rsidR="002705F9" w:rsidRPr="00B2593A" w:rsidRDefault="002705F9" w:rsidP="002705F9">
      <w:pPr>
        <w:tabs>
          <w:tab w:val="left" w:pos="993"/>
        </w:tabs>
        <w:ind w:firstLine="539"/>
        <w:jc w:val="both"/>
        <w:rPr>
          <w:bCs/>
          <w:i/>
          <w:iCs/>
          <w:sz w:val="23"/>
          <w:szCs w:val="23"/>
          <w:lang w:val="uk-UA"/>
        </w:rPr>
      </w:pPr>
      <w:r w:rsidRPr="00B2593A">
        <w:rPr>
          <w:bCs/>
          <w:i/>
          <w:iCs/>
          <w:sz w:val="23"/>
          <w:szCs w:val="23"/>
          <w:lang w:val="uk-UA"/>
        </w:rPr>
        <w:t xml:space="preserve">- </w:t>
      </w:r>
      <w:r w:rsidRPr="00B2593A">
        <w:rPr>
          <w:i/>
          <w:sz w:val="23"/>
          <w:szCs w:val="23"/>
          <w:lang w:val="uk-UA"/>
        </w:rPr>
        <w:t xml:space="preserve">еквівалент </w:t>
      </w:r>
      <w:r w:rsidRPr="00B2593A">
        <w:rPr>
          <w:bCs/>
          <w:i/>
          <w:iCs/>
          <w:sz w:val="23"/>
          <w:szCs w:val="23"/>
          <w:lang w:val="uk-UA"/>
        </w:rPr>
        <w:t>20 мільйонів доларів США – сукупна основна сума кредиту, що залучається ТОВ «Фора» (код ЄДРПОУ 32294897).</w:t>
      </w:r>
    </w:p>
    <w:p w:rsidR="002705F9" w:rsidRPr="00B2593A" w:rsidRDefault="002705F9" w:rsidP="002705F9">
      <w:pPr>
        <w:pStyle w:val="3"/>
        <w:spacing w:after="0"/>
        <w:ind w:firstLine="567"/>
        <w:jc w:val="both"/>
        <w:rPr>
          <w:sz w:val="23"/>
          <w:szCs w:val="23"/>
          <w:lang w:val="uk-UA"/>
        </w:rPr>
      </w:pPr>
    </w:p>
    <w:p w:rsidR="002C20CE" w:rsidRPr="00B2593A" w:rsidRDefault="002C20CE" w:rsidP="007A39E6">
      <w:pPr>
        <w:tabs>
          <w:tab w:val="left" w:pos="993"/>
        </w:tabs>
        <w:ind w:firstLine="567"/>
        <w:jc w:val="both"/>
        <w:rPr>
          <w:bCs/>
          <w:iCs/>
          <w:spacing w:val="-1"/>
          <w:sz w:val="23"/>
          <w:szCs w:val="23"/>
          <w:lang w:val="uk-UA"/>
        </w:rPr>
      </w:pPr>
      <w:r w:rsidRPr="00B2593A">
        <w:rPr>
          <w:bCs/>
          <w:iCs/>
          <w:spacing w:val="-1"/>
          <w:sz w:val="23"/>
          <w:szCs w:val="23"/>
          <w:lang w:val="uk-UA"/>
        </w:rPr>
        <w:t>Голосування проводиться бюлетенем для голосування №2.</w:t>
      </w:r>
    </w:p>
    <w:p w:rsidR="002705F9" w:rsidRPr="00B2593A" w:rsidRDefault="002705F9" w:rsidP="002705F9">
      <w:pPr>
        <w:tabs>
          <w:tab w:val="left" w:pos="993"/>
        </w:tabs>
        <w:ind w:firstLine="567"/>
        <w:jc w:val="both"/>
        <w:rPr>
          <w:bCs/>
          <w:iCs/>
          <w:sz w:val="23"/>
          <w:szCs w:val="23"/>
          <w:lang w:val="uk-UA"/>
        </w:rPr>
      </w:pPr>
      <w:r w:rsidRPr="00B2593A">
        <w:rPr>
          <w:bCs/>
          <w:iCs/>
          <w:sz w:val="23"/>
          <w:szCs w:val="23"/>
          <w:lang w:val="uk-UA"/>
        </w:rPr>
        <w:t>Рішення приймається більш як 50 відсотками голосів акціонерів від їх загальної кількості.</w:t>
      </w:r>
    </w:p>
    <w:p w:rsidR="002705F9" w:rsidRPr="00B2593A" w:rsidRDefault="002705F9" w:rsidP="002705F9">
      <w:pPr>
        <w:ind w:firstLine="567"/>
        <w:jc w:val="both"/>
        <w:rPr>
          <w:b/>
          <w:iCs/>
          <w:sz w:val="23"/>
          <w:szCs w:val="23"/>
          <w:lang w:val="uk-UA"/>
        </w:rPr>
      </w:pPr>
      <w:r w:rsidRPr="00B2593A">
        <w:rPr>
          <w:b/>
          <w:iCs/>
          <w:sz w:val="23"/>
          <w:szCs w:val="23"/>
          <w:lang w:val="uk-UA"/>
        </w:rPr>
        <w:t>Результати відкритого голосування:</w:t>
      </w:r>
    </w:p>
    <w:p w:rsidR="002705F9" w:rsidRPr="00B2593A" w:rsidRDefault="002705F9" w:rsidP="002705F9">
      <w:pPr>
        <w:ind w:firstLine="567"/>
        <w:jc w:val="both"/>
        <w:rPr>
          <w:b/>
          <w:sz w:val="23"/>
          <w:szCs w:val="23"/>
          <w:lang w:val="uk-UA"/>
        </w:rPr>
      </w:pPr>
      <w:r w:rsidRPr="00B2593A">
        <w:rPr>
          <w:b/>
          <w:sz w:val="23"/>
          <w:szCs w:val="23"/>
          <w:lang w:val="uk-UA"/>
        </w:rPr>
        <w:t xml:space="preserve">"За" – </w:t>
      </w:r>
      <w:r w:rsidR="003264C9">
        <w:rPr>
          <w:sz w:val="23"/>
          <w:szCs w:val="23"/>
          <w:lang w:val="uk-UA"/>
        </w:rPr>
        <w:t>31 861 760</w:t>
      </w:r>
      <w:r w:rsidR="003264C9" w:rsidRPr="00B2593A">
        <w:rPr>
          <w:sz w:val="23"/>
          <w:szCs w:val="23"/>
          <w:lang w:val="uk-UA"/>
        </w:rPr>
        <w:t xml:space="preserve"> </w:t>
      </w:r>
      <w:r w:rsidRPr="00B2593A">
        <w:rPr>
          <w:sz w:val="23"/>
          <w:szCs w:val="23"/>
          <w:lang w:val="uk-UA"/>
        </w:rPr>
        <w:t xml:space="preserve">голосів, що складає </w:t>
      </w:r>
      <w:r w:rsidR="00A51FE4" w:rsidRPr="00B2593A">
        <w:rPr>
          <w:sz w:val="23"/>
          <w:szCs w:val="23"/>
          <w:lang w:val="uk-UA"/>
        </w:rPr>
        <w:t>100</w:t>
      </w:r>
      <w:r w:rsidRPr="00B2593A">
        <w:rPr>
          <w:sz w:val="23"/>
          <w:szCs w:val="23"/>
          <w:lang w:val="uk-UA"/>
        </w:rPr>
        <w:t xml:space="preserve"> % голосів акціонерів від загальної кількості.</w:t>
      </w:r>
      <w:r w:rsidR="00A51FE4" w:rsidRPr="00B2593A">
        <w:rPr>
          <w:b/>
          <w:sz w:val="23"/>
          <w:szCs w:val="23"/>
          <w:lang w:val="uk-UA"/>
        </w:rPr>
        <w:t xml:space="preserve"> </w:t>
      </w:r>
    </w:p>
    <w:p w:rsidR="002705F9" w:rsidRPr="00B2593A" w:rsidRDefault="002705F9" w:rsidP="002705F9">
      <w:pPr>
        <w:ind w:firstLine="567"/>
        <w:jc w:val="both"/>
        <w:rPr>
          <w:b/>
          <w:sz w:val="23"/>
          <w:szCs w:val="23"/>
          <w:lang w:val="uk-UA"/>
        </w:rPr>
      </w:pPr>
      <w:r w:rsidRPr="00B2593A">
        <w:rPr>
          <w:b/>
          <w:sz w:val="23"/>
          <w:szCs w:val="23"/>
          <w:lang w:val="uk-UA"/>
        </w:rPr>
        <w:t xml:space="preserve">"Проти" – </w:t>
      </w:r>
      <w:r w:rsidRPr="00B2593A">
        <w:rPr>
          <w:sz w:val="23"/>
          <w:szCs w:val="23"/>
          <w:lang w:val="uk-UA"/>
        </w:rPr>
        <w:t>0 голосів, що складає 0 %</w:t>
      </w:r>
      <w:r w:rsidRPr="00B2593A">
        <w:rPr>
          <w:b/>
          <w:sz w:val="23"/>
          <w:szCs w:val="23"/>
          <w:lang w:val="uk-UA"/>
        </w:rPr>
        <w:t xml:space="preserve"> </w:t>
      </w:r>
      <w:r w:rsidRPr="00B2593A">
        <w:rPr>
          <w:sz w:val="23"/>
          <w:szCs w:val="23"/>
          <w:lang w:val="uk-UA"/>
        </w:rPr>
        <w:t>голосів акціонерів від загальної кількості.</w:t>
      </w:r>
    </w:p>
    <w:p w:rsidR="002705F9" w:rsidRPr="00B2593A" w:rsidRDefault="002705F9" w:rsidP="002705F9">
      <w:pPr>
        <w:ind w:firstLine="567"/>
        <w:jc w:val="both"/>
        <w:rPr>
          <w:sz w:val="23"/>
          <w:szCs w:val="23"/>
          <w:lang w:val="uk-UA"/>
        </w:rPr>
      </w:pPr>
      <w:r w:rsidRPr="00B2593A">
        <w:rPr>
          <w:b/>
          <w:sz w:val="23"/>
          <w:szCs w:val="23"/>
          <w:lang w:val="uk-UA"/>
        </w:rPr>
        <w:t xml:space="preserve">"Утримались" – </w:t>
      </w:r>
      <w:r w:rsidRPr="00B2593A">
        <w:rPr>
          <w:sz w:val="23"/>
          <w:szCs w:val="23"/>
          <w:lang w:val="uk-UA"/>
        </w:rPr>
        <w:t>0 голосів, що складає 0 %</w:t>
      </w:r>
      <w:r w:rsidRPr="00B2593A">
        <w:rPr>
          <w:b/>
          <w:sz w:val="23"/>
          <w:szCs w:val="23"/>
          <w:lang w:val="uk-UA"/>
        </w:rPr>
        <w:t xml:space="preserve"> </w:t>
      </w:r>
      <w:r w:rsidRPr="00B2593A">
        <w:rPr>
          <w:sz w:val="23"/>
          <w:szCs w:val="23"/>
          <w:lang w:val="uk-UA"/>
        </w:rPr>
        <w:t>голосів акціонерів від загальної кількості.</w:t>
      </w:r>
    </w:p>
    <w:p w:rsidR="002705F9" w:rsidRPr="00B2593A" w:rsidRDefault="002705F9" w:rsidP="002705F9">
      <w:pPr>
        <w:ind w:firstLine="567"/>
        <w:jc w:val="both"/>
        <w:rPr>
          <w:sz w:val="23"/>
          <w:szCs w:val="23"/>
          <w:lang w:val="uk-UA"/>
        </w:rPr>
      </w:pPr>
      <w:r w:rsidRPr="00B2593A">
        <w:rPr>
          <w:b/>
          <w:sz w:val="23"/>
          <w:szCs w:val="23"/>
          <w:lang w:val="uk-UA"/>
        </w:rPr>
        <w:t>не голосувало</w:t>
      </w:r>
      <w:r w:rsidRPr="00B2593A">
        <w:rPr>
          <w:sz w:val="23"/>
          <w:szCs w:val="23"/>
          <w:lang w:val="uk-UA"/>
        </w:rPr>
        <w:t xml:space="preserve"> - 0 (нуль) голосів акціонерів, що становить 0% голосів акціонерів від загальної кількості;</w:t>
      </w:r>
    </w:p>
    <w:p w:rsidR="002705F9" w:rsidRPr="00B2593A" w:rsidRDefault="002705F9" w:rsidP="002705F9">
      <w:pPr>
        <w:ind w:firstLine="567"/>
        <w:jc w:val="both"/>
        <w:rPr>
          <w:sz w:val="23"/>
          <w:szCs w:val="23"/>
          <w:lang w:val="uk-UA"/>
        </w:rPr>
      </w:pPr>
      <w:r w:rsidRPr="00B2593A">
        <w:rPr>
          <w:b/>
          <w:sz w:val="23"/>
          <w:szCs w:val="23"/>
          <w:lang w:val="uk-UA"/>
        </w:rPr>
        <w:t>визнано недійсними</w:t>
      </w:r>
      <w:r w:rsidRPr="00B2593A">
        <w:rPr>
          <w:sz w:val="23"/>
          <w:szCs w:val="23"/>
          <w:lang w:val="uk-UA"/>
        </w:rPr>
        <w:t xml:space="preserve"> - 0 (нуль) голосів акціонерів, що становить 0% голосів акціонерів від загальної кількості.</w:t>
      </w:r>
    </w:p>
    <w:p w:rsidR="002705F9" w:rsidRPr="00B2593A" w:rsidRDefault="002705F9" w:rsidP="002705F9">
      <w:pPr>
        <w:ind w:firstLine="567"/>
        <w:jc w:val="both"/>
        <w:rPr>
          <w:b/>
          <w:sz w:val="23"/>
          <w:szCs w:val="23"/>
          <w:lang w:val="uk-UA"/>
        </w:rPr>
      </w:pPr>
      <w:r w:rsidRPr="00B2593A">
        <w:rPr>
          <w:b/>
          <w:sz w:val="23"/>
          <w:szCs w:val="23"/>
          <w:lang w:val="uk-UA"/>
        </w:rPr>
        <w:t>Рішення прийнято більш як 50 відсотками голосів акціонерів від їх загальної кількості.</w:t>
      </w:r>
    </w:p>
    <w:p w:rsidR="002C20CE" w:rsidRPr="00B2593A" w:rsidRDefault="002C20CE" w:rsidP="007A39E6">
      <w:pPr>
        <w:ind w:firstLine="567"/>
        <w:rPr>
          <w:b/>
          <w:sz w:val="23"/>
          <w:szCs w:val="23"/>
          <w:u w:val="single"/>
          <w:lang w:val="uk-UA"/>
        </w:rPr>
      </w:pPr>
      <w:r w:rsidRPr="00B2593A">
        <w:rPr>
          <w:b/>
          <w:sz w:val="23"/>
          <w:szCs w:val="23"/>
          <w:u w:val="single"/>
          <w:lang w:val="uk-UA"/>
        </w:rPr>
        <w:t>Вирішили:</w:t>
      </w:r>
    </w:p>
    <w:p w:rsidR="002705F9" w:rsidRPr="00DA0818" w:rsidRDefault="002705F9" w:rsidP="002705F9">
      <w:pPr>
        <w:ind w:firstLine="567"/>
        <w:jc w:val="both"/>
        <w:rPr>
          <w:sz w:val="23"/>
          <w:szCs w:val="23"/>
          <w:lang w:val="uk-UA"/>
        </w:rPr>
      </w:pPr>
      <w:r w:rsidRPr="00DA0818">
        <w:rPr>
          <w:sz w:val="23"/>
          <w:szCs w:val="23"/>
          <w:lang w:val="uk-UA"/>
        </w:rPr>
        <w:lastRenderedPageBreak/>
        <w:t>2.1 Прийняти рішення про вчинення АТ «ФОЗЗІ ГРУП» значних правочинів, що пов’язані із (1) залученням ТОВ «Сільпо-</w:t>
      </w:r>
      <w:proofErr w:type="spellStart"/>
      <w:r w:rsidRPr="00DA0818">
        <w:rPr>
          <w:sz w:val="23"/>
          <w:szCs w:val="23"/>
          <w:lang w:val="uk-UA"/>
        </w:rPr>
        <w:t>Фуд</w:t>
      </w:r>
      <w:proofErr w:type="spellEnd"/>
      <w:r w:rsidRPr="00DA0818">
        <w:rPr>
          <w:sz w:val="23"/>
          <w:szCs w:val="23"/>
          <w:lang w:val="uk-UA"/>
        </w:rPr>
        <w:t>» (код ЄДРПОУ 40720198) фінансування від Європейського банку реконструкції та розвитку (надалі – ЄБРР) на загальну суму, що не перевищує еквівалент 40 мільйонів доларів США, та (2) залученням ТОВ «Фора» (код ЄДРПОУ 32294897) (надалі разом із ТОВ «Сільпо-</w:t>
      </w:r>
      <w:proofErr w:type="spellStart"/>
      <w:r w:rsidRPr="00DA0818">
        <w:rPr>
          <w:sz w:val="23"/>
          <w:szCs w:val="23"/>
          <w:lang w:val="uk-UA"/>
        </w:rPr>
        <w:t>Фуд</w:t>
      </w:r>
      <w:proofErr w:type="spellEnd"/>
      <w:r w:rsidRPr="00DA0818">
        <w:rPr>
          <w:sz w:val="23"/>
          <w:szCs w:val="23"/>
          <w:lang w:val="uk-UA"/>
        </w:rPr>
        <w:t>» – Позичальники) фінансування від ЄБРР на загальну суму, що не перевищує еквівалент 20 мільйонів доларів США (надалі разом – Фінансування), щодо надання АТ «ФОЗЗІ ГРУП» поруки з метою забезпечення виконання будь-яких та всіх зобов’язань Позичальників за кредитними договорами з ЄБРР та іншими договорами фінансування (</w:t>
      </w:r>
      <w:proofErr w:type="spellStart"/>
      <w:r w:rsidRPr="00DA0818">
        <w:rPr>
          <w:sz w:val="23"/>
          <w:szCs w:val="23"/>
          <w:lang w:val="uk-UA"/>
        </w:rPr>
        <w:t>Financing</w:t>
      </w:r>
      <w:proofErr w:type="spellEnd"/>
      <w:r w:rsidRPr="00DA0818">
        <w:rPr>
          <w:sz w:val="23"/>
          <w:szCs w:val="23"/>
          <w:lang w:val="uk-UA"/>
        </w:rPr>
        <w:t xml:space="preserve"> </w:t>
      </w:r>
      <w:proofErr w:type="spellStart"/>
      <w:r w:rsidRPr="00DA0818">
        <w:rPr>
          <w:sz w:val="23"/>
          <w:szCs w:val="23"/>
          <w:lang w:val="uk-UA"/>
        </w:rPr>
        <w:t>Agreements</w:t>
      </w:r>
      <w:proofErr w:type="spellEnd"/>
      <w:r w:rsidRPr="00DA0818">
        <w:rPr>
          <w:sz w:val="23"/>
          <w:szCs w:val="23"/>
          <w:lang w:val="uk-UA"/>
        </w:rPr>
        <w:t>), як цей термін буде визначено у Договорах поруки (як визначено нижче), та, відповідно, надати згоду на укладення АТ «ФОЗЗІ ГРУП» в якості поручителя договорів поруки з, серед інших, ЄБРР (надалі – Договори поруки), а також на укладення будь-яких змін та доповнень до Договорів поруки, як це може бути необхідно відповідно до умов Фінансування та/або у зв’язку з Фінансуванням.</w:t>
      </w:r>
    </w:p>
    <w:p w:rsidR="002705F9" w:rsidRPr="00DA0818" w:rsidRDefault="002705F9" w:rsidP="002705F9">
      <w:pPr>
        <w:ind w:firstLine="567"/>
        <w:jc w:val="both"/>
        <w:rPr>
          <w:sz w:val="23"/>
          <w:szCs w:val="23"/>
          <w:lang w:val="uk-UA"/>
        </w:rPr>
      </w:pPr>
      <w:r w:rsidRPr="00DA0818">
        <w:rPr>
          <w:sz w:val="23"/>
          <w:szCs w:val="23"/>
          <w:lang w:val="uk-UA"/>
        </w:rPr>
        <w:t>2.2 Уповноважити Генерального директора АТ «ФОЗЗІ ГРУП» або уповноважену ним особу на підставі довіреності, у тому числі довіреності від 25 лютого 2020 року, посвідченої приватним нотаріусом Київського міського нотаріального округу Синицею Т.В. за реєстровим № 952, на власний розсуд вести переговори, визначати, остаточно погоджувати всі умови, підписувати, укладати від імені АТ «ФОЗЗІ ГРУП» Договори поруки, а також будь-які зміни та доповнення до Договорів поруки, а також вчиняти будь-які інші дії, укладати інші правочини та документи, як це може бути необхідно відповідно до умов Фінансування та/або у зв’язку із Фінансуванням.</w:t>
      </w:r>
    </w:p>
    <w:p w:rsidR="002705F9" w:rsidRPr="00DA0818" w:rsidRDefault="002705F9" w:rsidP="002705F9">
      <w:pPr>
        <w:ind w:firstLine="567"/>
        <w:jc w:val="both"/>
        <w:rPr>
          <w:sz w:val="23"/>
          <w:szCs w:val="23"/>
          <w:lang w:val="uk-UA"/>
        </w:rPr>
      </w:pPr>
      <w:r w:rsidRPr="00DA0818">
        <w:rPr>
          <w:sz w:val="23"/>
          <w:szCs w:val="23"/>
          <w:lang w:val="uk-UA"/>
        </w:rPr>
        <w:t>2.3 Прийняти рішення про вчинення АТ «ФОЗЗІ ГРУП» Договорів поруки як правочинів, щодо вчинення яких є заінтересованість, з урахуванням того, що Генеральний директор АТ «ФОЗЗІ ГРУП» або уповноважена ним особа на підставі довіреності, у тому числі довіреності від 25 лютого 2020 року, посвідченої приватним нотаріусом Київського міського нотаріального округу Синицею Т.В. за реєстровим № 952, може на свій розсуд змінювати та остаточно погоджувати усі умови проектів Договорів поруки, окрім наступних: (1) Договори поруки укладаються АТ «ФОЗЗІ ГРУП» з, окрім інших, ЄБРР; (2) Договорами поруки забезпечується виконання будь-яких та всіх зобов’язань Позичальників за кредитними договорами з ЄБРР та іншими договорами фінансування (</w:t>
      </w:r>
      <w:proofErr w:type="spellStart"/>
      <w:r w:rsidRPr="00DA0818">
        <w:rPr>
          <w:sz w:val="23"/>
          <w:szCs w:val="23"/>
          <w:lang w:val="uk-UA"/>
        </w:rPr>
        <w:t>Financing</w:t>
      </w:r>
      <w:proofErr w:type="spellEnd"/>
      <w:r w:rsidRPr="00DA0818">
        <w:rPr>
          <w:sz w:val="23"/>
          <w:szCs w:val="23"/>
          <w:lang w:val="uk-UA"/>
        </w:rPr>
        <w:t xml:space="preserve"> </w:t>
      </w:r>
      <w:proofErr w:type="spellStart"/>
      <w:r w:rsidRPr="00DA0818">
        <w:rPr>
          <w:sz w:val="23"/>
          <w:szCs w:val="23"/>
          <w:lang w:val="uk-UA"/>
        </w:rPr>
        <w:t>Agreements</w:t>
      </w:r>
      <w:proofErr w:type="spellEnd"/>
      <w:r w:rsidRPr="00DA0818">
        <w:rPr>
          <w:sz w:val="23"/>
          <w:szCs w:val="23"/>
          <w:lang w:val="uk-UA"/>
        </w:rPr>
        <w:t>), як цей термін буде визначено у Договорах поруки; та (3) параметри Фінансування, зобов’язання стосовно якого забезпечуються порукою АТ «ФОЗЗІ ГРУП», становлять не більше:</w:t>
      </w:r>
    </w:p>
    <w:p w:rsidR="002705F9" w:rsidRPr="00DA0818" w:rsidRDefault="002705F9" w:rsidP="002705F9">
      <w:pPr>
        <w:ind w:firstLine="567"/>
        <w:jc w:val="both"/>
        <w:rPr>
          <w:sz w:val="23"/>
          <w:szCs w:val="23"/>
          <w:lang w:val="uk-UA"/>
        </w:rPr>
      </w:pPr>
      <w:r w:rsidRPr="00DA0818">
        <w:rPr>
          <w:sz w:val="23"/>
          <w:szCs w:val="23"/>
          <w:lang w:val="uk-UA"/>
        </w:rPr>
        <w:t>- еквівалент 40 мільйонів доларів США – сукупна основна сума кредиту, що залучається ТОВ «Сільпо-</w:t>
      </w:r>
      <w:proofErr w:type="spellStart"/>
      <w:r w:rsidRPr="00DA0818">
        <w:rPr>
          <w:sz w:val="23"/>
          <w:szCs w:val="23"/>
          <w:lang w:val="uk-UA"/>
        </w:rPr>
        <w:t>Фуд</w:t>
      </w:r>
      <w:proofErr w:type="spellEnd"/>
      <w:r w:rsidRPr="00DA0818">
        <w:rPr>
          <w:sz w:val="23"/>
          <w:szCs w:val="23"/>
          <w:lang w:val="uk-UA"/>
        </w:rPr>
        <w:t>» (код ЄДРПОУ 40720198); та</w:t>
      </w:r>
    </w:p>
    <w:p w:rsidR="00F42D1C" w:rsidRPr="00DA0818" w:rsidRDefault="002705F9" w:rsidP="002705F9">
      <w:pPr>
        <w:ind w:firstLine="567"/>
        <w:jc w:val="both"/>
        <w:rPr>
          <w:sz w:val="23"/>
          <w:szCs w:val="23"/>
          <w:lang w:val="uk-UA"/>
        </w:rPr>
      </w:pPr>
      <w:r w:rsidRPr="00DA0818">
        <w:rPr>
          <w:sz w:val="23"/>
          <w:szCs w:val="23"/>
          <w:lang w:val="uk-UA"/>
        </w:rPr>
        <w:t>- еквівалент 20 мільйонів доларів США – сукупна основна сума кредиту, що залучається ТОВ «Фора» (код ЄДРПОУ 32294897).</w:t>
      </w:r>
    </w:p>
    <w:p w:rsidR="006E3442" w:rsidRPr="00B2593A" w:rsidRDefault="006E3442" w:rsidP="007A39E6">
      <w:pPr>
        <w:pStyle w:val="3"/>
        <w:spacing w:after="0"/>
        <w:ind w:firstLine="567"/>
        <w:jc w:val="both"/>
        <w:rPr>
          <w:b/>
          <w:sz w:val="23"/>
          <w:szCs w:val="23"/>
          <w:lang w:val="uk-UA"/>
        </w:rPr>
      </w:pPr>
      <w:bookmarkStart w:id="0" w:name="_GoBack"/>
      <w:bookmarkEnd w:id="0"/>
    </w:p>
    <w:sectPr w:rsidR="006E3442" w:rsidRPr="00B2593A" w:rsidSect="007A39E6">
      <w:footerReference w:type="even" r:id="rId8"/>
      <w:footerReference w:type="default" r:id="rId9"/>
      <w:pgSz w:w="11906" w:h="16838"/>
      <w:pgMar w:top="709" w:right="720" w:bottom="851" w:left="1276" w:header="13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F7" w:rsidRDefault="00AD31F7">
      <w:r>
        <w:separator/>
      </w:r>
    </w:p>
  </w:endnote>
  <w:endnote w:type="continuationSeparator" w:id="0">
    <w:p w:rsidR="00AD31F7" w:rsidRDefault="00AD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45" w:rsidRDefault="00562E45" w:rsidP="004D6F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2E45" w:rsidRDefault="00562E45" w:rsidP="004D6FE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45" w:rsidRDefault="00562E45" w:rsidP="004D6F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818">
      <w:rPr>
        <w:rStyle w:val="a7"/>
        <w:noProof/>
      </w:rPr>
      <w:t>3</w:t>
    </w:r>
    <w:r>
      <w:rPr>
        <w:rStyle w:val="a7"/>
      </w:rPr>
      <w:fldChar w:fldCharType="end"/>
    </w:r>
  </w:p>
  <w:p w:rsidR="00562E45" w:rsidRDefault="00562E45" w:rsidP="004D6F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F7" w:rsidRDefault="00AD31F7">
      <w:r>
        <w:separator/>
      </w:r>
    </w:p>
  </w:footnote>
  <w:footnote w:type="continuationSeparator" w:id="0">
    <w:p w:rsidR="00AD31F7" w:rsidRDefault="00AD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3D5"/>
    <w:multiLevelType w:val="hybridMultilevel"/>
    <w:tmpl w:val="5EC08234"/>
    <w:lvl w:ilvl="0" w:tplc="7792A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36158"/>
    <w:multiLevelType w:val="hybridMultilevel"/>
    <w:tmpl w:val="85A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31F8"/>
    <w:multiLevelType w:val="hybridMultilevel"/>
    <w:tmpl w:val="DFAC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4E50"/>
    <w:multiLevelType w:val="hybridMultilevel"/>
    <w:tmpl w:val="666EE816"/>
    <w:lvl w:ilvl="0" w:tplc="6DFCDF2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4EB7D15"/>
    <w:multiLevelType w:val="hybridMultilevel"/>
    <w:tmpl w:val="2FC8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62DED"/>
    <w:multiLevelType w:val="hybridMultilevel"/>
    <w:tmpl w:val="AAEC97A0"/>
    <w:lvl w:ilvl="0" w:tplc="652A6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454E65"/>
    <w:multiLevelType w:val="hybridMultilevel"/>
    <w:tmpl w:val="600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47734"/>
    <w:multiLevelType w:val="hybridMultilevel"/>
    <w:tmpl w:val="A3462CEC"/>
    <w:lvl w:ilvl="0" w:tplc="293647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F40403"/>
    <w:multiLevelType w:val="hybridMultilevel"/>
    <w:tmpl w:val="3C18E048"/>
    <w:lvl w:ilvl="0" w:tplc="A77820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300698"/>
    <w:multiLevelType w:val="hybridMultilevel"/>
    <w:tmpl w:val="0E86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85579"/>
    <w:multiLevelType w:val="hybridMultilevel"/>
    <w:tmpl w:val="F6BC5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F563FB"/>
    <w:multiLevelType w:val="hybridMultilevel"/>
    <w:tmpl w:val="5EC08234"/>
    <w:lvl w:ilvl="0" w:tplc="7792A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EE"/>
    <w:rsid w:val="00006871"/>
    <w:rsid w:val="00012E13"/>
    <w:rsid w:val="00014AC7"/>
    <w:rsid w:val="00053D4C"/>
    <w:rsid w:val="000609B1"/>
    <w:rsid w:val="00070A02"/>
    <w:rsid w:val="0007768D"/>
    <w:rsid w:val="00083446"/>
    <w:rsid w:val="000972F7"/>
    <w:rsid w:val="000A6F8F"/>
    <w:rsid w:val="000A76AE"/>
    <w:rsid w:val="000A7F73"/>
    <w:rsid w:val="000B6214"/>
    <w:rsid w:val="000B7770"/>
    <w:rsid w:val="000D3138"/>
    <w:rsid w:val="000F28E1"/>
    <w:rsid w:val="00154F21"/>
    <w:rsid w:val="001673D2"/>
    <w:rsid w:val="00170A75"/>
    <w:rsid w:val="0019774C"/>
    <w:rsid w:val="001A239A"/>
    <w:rsid w:val="001A5725"/>
    <w:rsid w:val="001A5D91"/>
    <w:rsid w:val="001B4FB7"/>
    <w:rsid w:val="001B73B3"/>
    <w:rsid w:val="001C335A"/>
    <w:rsid w:val="001C5211"/>
    <w:rsid w:val="001D4200"/>
    <w:rsid w:val="001D72C6"/>
    <w:rsid w:val="001E52B1"/>
    <w:rsid w:val="001E6B82"/>
    <w:rsid w:val="00202309"/>
    <w:rsid w:val="00203311"/>
    <w:rsid w:val="002173E9"/>
    <w:rsid w:val="00232401"/>
    <w:rsid w:val="0023378E"/>
    <w:rsid w:val="00235F0B"/>
    <w:rsid w:val="0024441A"/>
    <w:rsid w:val="0024636A"/>
    <w:rsid w:val="0025110F"/>
    <w:rsid w:val="002549F4"/>
    <w:rsid w:val="00263ED6"/>
    <w:rsid w:val="002705F9"/>
    <w:rsid w:val="002805AE"/>
    <w:rsid w:val="00281108"/>
    <w:rsid w:val="00295181"/>
    <w:rsid w:val="00296F0E"/>
    <w:rsid w:val="002A4556"/>
    <w:rsid w:val="002C20CE"/>
    <w:rsid w:val="002D0EBE"/>
    <w:rsid w:val="002E019A"/>
    <w:rsid w:val="002E03B1"/>
    <w:rsid w:val="002E3138"/>
    <w:rsid w:val="002E4B7D"/>
    <w:rsid w:val="002F27DA"/>
    <w:rsid w:val="00301944"/>
    <w:rsid w:val="003071C6"/>
    <w:rsid w:val="003075CA"/>
    <w:rsid w:val="003264C9"/>
    <w:rsid w:val="003319B6"/>
    <w:rsid w:val="00340351"/>
    <w:rsid w:val="003428FD"/>
    <w:rsid w:val="0034392F"/>
    <w:rsid w:val="0034520D"/>
    <w:rsid w:val="00350AEC"/>
    <w:rsid w:val="003578BC"/>
    <w:rsid w:val="00360F03"/>
    <w:rsid w:val="00360F8F"/>
    <w:rsid w:val="00361A87"/>
    <w:rsid w:val="00365ADB"/>
    <w:rsid w:val="00371CA6"/>
    <w:rsid w:val="003858CE"/>
    <w:rsid w:val="003866D2"/>
    <w:rsid w:val="00390CF8"/>
    <w:rsid w:val="00390D08"/>
    <w:rsid w:val="003A6E93"/>
    <w:rsid w:val="003B398B"/>
    <w:rsid w:val="003D21FC"/>
    <w:rsid w:val="003D4183"/>
    <w:rsid w:val="003D4E22"/>
    <w:rsid w:val="003E10B5"/>
    <w:rsid w:val="003F0FAF"/>
    <w:rsid w:val="003F2F57"/>
    <w:rsid w:val="003F3182"/>
    <w:rsid w:val="003F54C2"/>
    <w:rsid w:val="00401A3C"/>
    <w:rsid w:val="00410078"/>
    <w:rsid w:val="00411D17"/>
    <w:rsid w:val="00415069"/>
    <w:rsid w:val="0042459D"/>
    <w:rsid w:val="00426FD0"/>
    <w:rsid w:val="004438A2"/>
    <w:rsid w:val="00445A88"/>
    <w:rsid w:val="0044681B"/>
    <w:rsid w:val="0047091D"/>
    <w:rsid w:val="00471B9C"/>
    <w:rsid w:val="00474EBE"/>
    <w:rsid w:val="0047738F"/>
    <w:rsid w:val="00483B8C"/>
    <w:rsid w:val="004857BD"/>
    <w:rsid w:val="0048643F"/>
    <w:rsid w:val="00487E1F"/>
    <w:rsid w:val="004A5166"/>
    <w:rsid w:val="004B1481"/>
    <w:rsid w:val="004C0819"/>
    <w:rsid w:val="004D01D6"/>
    <w:rsid w:val="004D09A6"/>
    <w:rsid w:val="004D6FEE"/>
    <w:rsid w:val="004E02A9"/>
    <w:rsid w:val="004E7D38"/>
    <w:rsid w:val="00500568"/>
    <w:rsid w:val="00500FB1"/>
    <w:rsid w:val="005011A5"/>
    <w:rsid w:val="00504768"/>
    <w:rsid w:val="00522988"/>
    <w:rsid w:val="0052335A"/>
    <w:rsid w:val="00530CA2"/>
    <w:rsid w:val="00532440"/>
    <w:rsid w:val="00536C9C"/>
    <w:rsid w:val="00551843"/>
    <w:rsid w:val="00562E45"/>
    <w:rsid w:val="005739A4"/>
    <w:rsid w:val="005744E1"/>
    <w:rsid w:val="005809FA"/>
    <w:rsid w:val="005818EC"/>
    <w:rsid w:val="00587ECD"/>
    <w:rsid w:val="00592A26"/>
    <w:rsid w:val="0059767E"/>
    <w:rsid w:val="005B6172"/>
    <w:rsid w:val="005C61AB"/>
    <w:rsid w:val="005E0C95"/>
    <w:rsid w:val="005E3373"/>
    <w:rsid w:val="005F07AE"/>
    <w:rsid w:val="005F29FA"/>
    <w:rsid w:val="006157E5"/>
    <w:rsid w:val="00620D54"/>
    <w:rsid w:val="006218AB"/>
    <w:rsid w:val="006349B0"/>
    <w:rsid w:val="00650C82"/>
    <w:rsid w:val="00650D2C"/>
    <w:rsid w:val="006740B5"/>
    <w:rsid w:val="006A4D8B"/>
    <w:rsid w:val="006C4B62"/>
    <w:rsid w:val="006D26FD"/>
    <w:rsid w:val="006D7F92"/>
    <w:rsid w:val="006E3442"/>
    <w:rsid w:val="006E4A9A"/>
    <w:rsid w:val="006E6A73"/>
    <w:rsid w:val="006E7933"/>
    <w:rsid w:val="006F11F6"/>
    <w:rsid w:val="006F5C30"/>
    <w:rsid w:val="006F724D"/>
    <w:rsid w:val="00701B3F"/>
    <w:rsid w:val="00701CDC"/>
    <w:rsid w:val="00702E2C"/>
    <w:rsid w:val="00704527"/>
    <w:rsid w:val="00705702"/>
    <w:rsid w:val="00706C6E"/>
    <w:rsid w:val="00716403"/>
    <w:rsid w:val="007169BA"/>
    <w:rsid w:val="00724FF2"/>
    <w:rsid w:val="007254EF"/>
    <w:rsid w:val="00730828"/>
    <w:rsid w:val="00732650"/>
    <w:rsid w:val="007446E8"/>
    <w:rsid w:val="0074651D"/>
    <w:rsid w:val="00750420"/>
    <w:rsid w:val="007506CD"/>
    <w:rsid w:val="00750A22"/>
    <w:rsid w:val="00753C67"/>
    <w:rsid w:val="007601AB"/>
    <w:rsid w:val="00761A0D"/>
    <w:rsid w:val="0076318B"/>
    <w:rsid w:val="007668A0"/>
    <w:rsid w:val="00775641"/>
    <w:rsid w:val="00777278"/>
    <w:rsid w:val="007801D2"/>
    <w:rsid w:val="007879E6"/>
    <w:rsid w:val="00790E5D"/>
    <w:rsid w:val="007927D9"/>
    <w:rsid w:val="007A39E6"/>
    <w:rsid w:val="007A56A9"/>
    <w:rsid w:val="007B0B86"/>
    <w:rsid w:val="007B3767"/>
    <w:rsid w:val="007B6600"/>
    <w:rsid w:val="007C05B6"/>
    <w:rsid w:val="007C3D0A"/>
    <w:rsid w:val="007D2238"/>
    <w:rsid w:val="007D33CE"/>
    <w:rsid w:val="007D6D26"/>
    <w:rsid w:val="007E3304"/>
    <w:rsid w:val="007E74F3"/>
    <w:rsid w:val="00840E3E"/>
    <w:rsid w:val="008446CA"/>
    <w:rsid w:val="00854270"/>
    <w:rsid w:val="00855B64"/>
    <w:rsid w:val="00875661"/>
    <w:rsid w:val="00875D69"/>
    <w:rsid w:val="00876C39"/>
    <w:rsid w:val="00877D2E"/>
    <w:rsid w:val="00885572"/>
    <w:rsid w:val="008857FA"/>
    <w:rsid w:val="00885D3C"/>
    <w:rsid w:val="00893A9E"/>
    <w:rsid w:val="00896986"/>
    <w:rsid w:val="00897397"/>
    <w:rsid w:val="008A402E"/>
    <w:rsid w:val="008C43D1"/>
    <w:rsid w:val="008D21D7"/>
    <w:rsid w:val="008E504B"/>
    <w:rsid w:val="00900972"/>
    <w:rsid w:val="0090268B"/>
    <w:rsid w:val="009039A1"/>
    <w:rsid w:val="00924674"/>
    <w:rsid w:val="00927BCF"/>
    <w:rsid w:val="009316FF"/>
    <w:rsid w:val="009419A2"/>
    <w:rsid w:val="00950252"/>
    <w:rsid w:val="009505C5"/>
    <w:rsid w:val="009776D9"/>
    <w:rsid w:val="00981BF0"/>
    <w:rsid w:val="0098341E"/>
    <w:rsid w:val="009B0272"/>
    <w:rsid w:val="009C51B8"/>
    <w:rsid w:val="009D101A"/>
    <w:rsid w:val="009D2001"/>
    <w:rsid w:val="009E0D33"/>
    <w:rsid w:val="009E12AE"/>
    <w:rsid w:val="00A002F7"/>
    <w:rsid w:val="00A26DF2"/>
    <w:rsid w:val="00A27216"/>
    <w:rsid w:val="00A46708"/>
    <w:rsid w:val="00A47C18"/>
    <w:rsid w:val="00A51FE4"/>
    <w:rsid w:val="00A52719"/>
    <w:rsid w:val="00A54F37"/>
    <w:rsid w:val="00A60979"/>
    <w:rsid w:val="00A845AC"/>
    <w:rsid w:val="00A879BE"/>
    <w:rsid w:val="00AA05B8"/>
    <w:rsid w:val="00AA31CE"/>
    <w:rsid w:val="00AA4B2D"/>
    <w:rsid w:val="00AB51D8"/>
    <w:rsid w:val="00AD31F7"/>
    <w:rsid w:val="00AE047C"/>
    <w:rsid w:val="00B0218B"/>
    <w:rsid w:val="00B025F9"/>
    <w:rsid w:val="00B06E86"/>
    <w:rsid w:val="00B10265"/>
    <w:rsid w:val="00B12D20"/>
    <w:rsid w:val="00B24339"/>
    <w:rsid w:val="00B24EB3"/>
    <w:rsid w:val="00B2593A"/>
    <w:rsid w:val="00B33FC2"/>
    <w:rsid w:val="00B43DC9"/>
    <w:rsid w:val="00B5446E"/>
    <w:rsid w:val="00B627BB"/>
    <w:rsid w:val="00B64346"/>
    <w:rsid w:val="00B672FF"/>
    <w:rsid w:val="00B67893"/>
    <w:rsid w:val="00B724D5"/>
    <w:rsid w:val="00B744FC"/>
    <w:rsid w:val="00B7451A"/>
    <w:rsid w:val="00B74680"/>
    <w:rsid w:val="00B81AF9"/>
    <w:rsid w:val="00B82182"/>
    <w:rsid w:val="00BA3580"/>
    <w:rsid w:val="00BA3952"/>
    <w:rsid w:val="00BA4F21"/>
    <w:rsid w:val="00BA5B26"/>
    <w:rsid w:val="00BB0AE1"/>
    <w:rsid w:val="00BB517E"/>
    <w:rsid w:val="00BC4F1E"/>
    <w:rsid w:val="00BC5FCE"/>
    <w:rsid w:val="00BD21ED"/>
    <w:rsid w:val="00BD2F36"/>
    <w:rsid w:val="00BD414A"/>
    <w:rsid w:val="00BE148A"/>
    <w:rsid w:val="00C039F7"/>
    <w:rsid w:val="00C05BB1"/>
    <w:rsid w:val="00C05FC3"/>
    <w:rsid w:val="00C17FFB"/>
    <w:rsid w:val="00C22DDA"/>
    <w:rsid w:val="00C23DEA"/>
    <w:rsid w:val="00C25348"/>
    <w:rsid w:val="00C354E8"/>
    <w:rsid w:val="00C4408A"/>
    <w:rsid w:val="00C45903"/>
    <w:rsid w:val="00C46C76"/>
    <w:rsid w:val="00C57DFB"/>
    <w:rsid w:val="00C647F1"/>
    <w:rsid w:val="00C67877"/>
    <w:rsid w:val="00C72A01"/>
    <w:rsid w:val="00C7596C"/>
    <w:rsid w:val="00C80224"/>
    <w:rsid w:val="00C80FB1"/>
    <w:rsid w:val="00CB370A"/>
    <w:rsid w:val="00CB7194"/>
    <w:rsid w:val="00CC1082"/>
    <w:rsid w:val="00CD1FF5"/>
    <w:rsid w:val="00CD2CE9"/>
    <w:rsid w:val="00CD7A13"/>
    <w:rsid w:val="00CE1A67"/>
    <w:rsid w:val="00CF683B"/>
    <w:rsid w:val="00D0375E"/>
    <w:rsid w:val="00D04480"/>
    <w:rsid w:val="00D1737B"/>
    <w:rsid w:val="00D250D0"/>
    <w:rsid w:val="00D27372"/>
    <w:rsid w:val="00D4667E"/>
    <w:rsid w:val="00D46DDA"/>
    <w:rsid w:val="00D55920"/>
    <w:rsid w:val="00D7301C"/>
    <w:rsid w:val="00D746CD"/>
    <w:rsid w:val="00D74D60"/>
    <w:rsid w:val="00DA0818"/>
    <w:rsid w:val="00DA3AB3"/>
    <w:rsid w:val="00DA64AF"/>
    <w:rsid w:val="00DC2D89"/>
    <w:rsid w:val="00DE7C63"/>
    <w:rsid w:val="00DF3BCB"/>
    <w:rsid w:val="00DF45F4"/>
    <w:rsid w:val="00DF63A2"/>
    <w:rsid w:val="00E1469A"/>
    <w:rsid w:val="00E36439"/>
    <w:rsid w:val="00E40393"/>
    <w:rsid w:val="00E617A2"/>
    <w:rsid w:val="00E62DAB"/>
    <w:rsid w:val="00E73BDD"/>
    <w:rsid w:val="00E80DC5"/>
    <w:rsid w:val="00E83BC6"/>
    <w:rsid w:val="00E87E1F"/>
    <w:rsid w:val="00E97175"/>
    <w:rsid w:val="00EA4183"/>
    <w:rsid w:val="00EA437C"/>
    <w:rsid w:val="00ED1020"/>
    <w:rsid w:val="00EE0749"/>
    <w:rsid w:val="00EE4A28"/>
    <w:rsid w:val="00EF1BB2"/>
    <w:rsid w:val="00F0477B"/>
    <w:rsid w:val="00F06531"/>
    <w:rsid w:val="00F1302F"/>
    <w:rsid w:val="00F135B3"/>
    <w:rsid w:val="00F17212"/>
    <w:rsid w:val="00F2212D"/>
    <w:rsid w:val="00F27A01"/>
    <w:rsid w:val="00F36A24"/>
    <w:rsid w:val="00F419F4"/>
    <w:rsid w:val="00F42D1C"/>
    <w:rsid w:val="00F6057F"/>
    <w:rsid w:val="00F62461"/>
    <w:rsid w:val="00F65B5E"/>
    <w:rsid w:val="00F67D25"/>
    <w:rsid w:val="00F74609"/>
    <w:rsid w:val="00F74AF8"/>
    <w:rsid w:val="00F76F43"/>
    <w:rsid w:val="00F8192E"/>
    <w:rsid w:val="00F8224E"/>
    <w:rsid w:val="00F856A2"/>
    <w:rsid w:val="00F87FB4"/>
    <w:rsid w:val="00F91FAA"/>
    <w:rsid w:val="00F92BD3"/>
    <w:rsid w:val="00F976F8"/>
    <w:rsid w:val="00FA2AA0"/>
    <w:rsid w:val="00FC3818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F35DA"/>
  <w15:chartTrackingRefBased/>
  <w15:docId w15:val="{B86AA9EC-0582-438A-B821-853BC6F6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6FEE"/>
    <w:pPr>
      <w:jc w:val="center"/>
    </w:pPr>
    <w:rPr>
      <w:b/>
      <w:sz w:val="32"/>
    </w:rPr>
  </w:style>
  <w:style w:type="paragraph" w:styleId="a5">
    <w:name w:val="footer"/>
    <w:basedOn w:val="a"/>
    <w:link w:val="a6"/>
    <w:rsid w:val="004D6F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6FEE"/>
  </w:style>
  <w:style w:type="paragraph" w:styleId="a8">
    <w:name w:val="Body Text"/>
    <w:basedOn w:val="a"/>
    <w:link w:val="a9"/>
    <w:rsid w:val="004D6FEE"/>
    <w:pPr>
      <w:jc w:val="both"/>
    </w:pPr>
    <w:rPr>
      <w:sz w:val="24"/>
      <w:lang w:val="uk-UA"/>
    </w:rPr>
  </w:style>
  <w:style w:type="character" w:customStyle="1" w:styleId="a4">
    <w:name w:val="Заголовок Знак"/>
    <w:link w:val="a3"/>
    <w:locked/>
    <w:rsid w:val="004D6FEE"/>
    <w:rPr>
      <w:b/>
      <w:sz w:val="32"/>
      <w:lang w:val="ru-RU" w:eastAsia="ru-RU" w:bidi="ar-SA"/>
    </w:rPr>
  </w:style>
  <w:style w:type="character" w:customStyle="1" w:styleId="a9">
    <w:name w:val="Основной текст Знак"/>
    <w:link w:val="a8"/>
    <w:semiHidden/>
    <w:locked/>
    <w:rsid w:val="004D6FEE"/>
    <w:rPr>
      <w:sz w:val="24"/>
      <w:lang w:val="uk-UA" w:eastAsia="ru-RU" w:bidi="ar-SA"/>
    </w:rPr>
  </w:style>
  <w:style w:type="character" w:customStyle="1" w:styleId="a6">
    <w:name w:val="Нижний колонтитул Знак"/>
    <w:link w:val="a5"/>
    <w:semiHidden/>
    <w:locked/>
    <w:rsid w:val="004D6FEE"/>
    <w:rPr>
      <w:lang w:val="ru-RU" w:eastAsia="ru-RU" w:bidi="ar-SA"/>
    </w:rPr>
  </w:style>
  <w:style w:type="paragraph" w:styleId="aa">
    <w:name w:val="No Spacing"/>
    <w:qFormat/>
    <w:rsid w:val="004D6FEE"/>
  </w:style>
  <w:style w:type="paragraph" w:styleId="3">
    <w:name w:val="Body Text 3"/>
    <w:basedOn w:val="a"/>
    <w:link w:val="30"/>
    <w:rsid w:val="004D6F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D6FEE"/>
    <w:rPr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semiHidden/>
    <w:rsid w:val="004D6FE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link w:val="ab"/>
    <w:semiHidden/>
    <w:locked/>
    <w:rsid w:val="004D6FEE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Обычный1"/>
    <w:rsid w:val="00F74AF8"/>
    <w:pPr>
      <w:widowControl w:val="0"/>
      <w:spacing w:line="340" w:lineRule="auto"/>
      <w:ind w:firstLine="660"/>
    </w:pPr>
    <w:rPr>
      <w:snapToGrid w:val="0"/>
      <w:sz w:val="22"/>
      <w:lang w:val="uk-UA"/>
    </w:rPr>
  </w:style>
  <w:style w:type="character" w:customStyle="1" w:styleId="FontStyle27">
    <w:name w:val="Font Style27"/>
    <w:rsid w:val="00D7301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D7301C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1"/>
    <w:rsid w:val="00B8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у1"/>
    <w:basedOn w:val="a"/>
    <w:rsid w:val="00F135B3"/>
    <w:pPr>
      <w:ind w:left="720"/>
      <w:contextualSpacing/>
    </w:pPr>
    <w:rPr>
      <w:rFonts w:eastAsia="Calibri"/>
      <w:sz w:val="24"/>
      <w:szCs w:val="24"/>
    </w:rPr>
  </w:style>
  <w:style w:type="paragraph" w:styleId="2">
    <w:name w:val="Body Text Indent 2"/>
    <w:basedOn w:val="a"/>
    <w:link w:val="20"/>
    <w:rsid w:val="00F135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5B3"/>
  </w:style>
  <w:style w:type="character" w:customStyle="1" w:styleId="hps">
    <w:name w:val="hps"/>
    <w:basedOn w:val="a0"/>
    <w:rsid w:val="00F135B3"/>
  </w:style>
  <w:style w:type="character" w:customStyle="1" w:styleId="longtext">
    <w:name w:val="long_text"/>
    <w:basedOn w:val="a0"/>
    <w:rsid w:val="00F135B3"/>
  </w:style>
  <w:style w:type="character" w:customStyle="1" w:styleId="atn">
    <w:name w:val="atn"/>
    <w:rsid w:val="00F135B3"/>
  </w:style>
  <w:style w:type="paragraph" w:customStyle="1" w:styleId="11">
    <w:name w:val="Обычный1"/>
    <w:rsid w:val="003F2F57"/>
    <w:pPr>
      <w:widowControl w:val="0"/>
      <w:spacing w:line="340" w:lineRule="auto"/>
      <w:ind w:firstLine="660"/>
    </w:pPr>
    <w:rPr>
      <w:snapToGrid w:val="0"/>
      <w:sz w:val="22"/>
      <w:lang w:val="uk-UA"/>
    </w:rPr>
  </w:style>
  <w:style w:type="paragraph" w:styleId="21">
    <w:name w:val="Body Text 2"/>
    <w:basedOn w:val="a"/>
    <w:link w:val="22"/>
    <w:uiPriority w:val="99"/>
    <w:unhideWhenUsed/>
    <w:rsid w:val="006C4B62"/>
    <w:pPr>
      <w:spacing w:after="120" w:line="480" w:lineRule="auto"/>
      <w:jc w:val="both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6C4B62"/>
    <w:rPr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361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rsid w:val="0052335A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52335A"/>
    <w:rPr>
      <w:rFonts w:ascii="Courier New" w:hAnsi="Courier New" w:cs="Courier New"/>
    </w:rPr>
  </w:style>
  <w:style w:type="paragraph" w:styleId="ae">
    <w:name w:val="Balloon Text"/>
    <w:basedOn w:val="a"/>
    <w:link w:val="af"/>
    <w:rsid w:val="00B5446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5446E"/>
    <w:rPr>
      <w:rFonts w:ascii="Segoe UI" w:hAnsi="Segoe UI" w:cs="Segoe UI"/>
      <w:sz w:val="18"/>
      <w:szCs w:val="18"/>
      <w:lang w:val="ru-RU" w:eastAsia="ru-RU"/>
    </w:rPr>
  </w:style>
  <w:style w:type="paragraph" w:styleId="af0">
    <w:name w:val="footnote text"/>
    <w:basedOn w:val="a"/>
    <w:link w:val="af1"/>
    <w:rsid w:val="00BE148A"/>
  </w:style>
  <w:style w:type="character" w:customStyle="1" w:styleId="af1">
    <w:name w:val="Текст сноски Знак"/>
    <w:link w:val="af0"/>
    <w:rsid w:val="00BE148A"/>
    <w:rPr>
      <w:lang w:val="ru-RU"/>
    </w:rPr>
  </w:style>
  <w:style w:type="character" w:styleId="af2">
    <w:name w:val="footnote reference"/>
    <w:rsid w:val="00BE1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4D303-51CA-489A-8471-00B934CA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1448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FOZZY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t.mykytiuk</dc:creator>
  <cp:keywords/>
  <cp:lastModifiedBy>Микитюк Тетяна Петрівна</cp:lastModifiedBy>
  <cp:revision>2</cp:revision>
  <cp:lastPrinted>2019-04-11T14:40:00Z</cp:lastPrinted>
  <dcterms:created xsi:type="dcterms:W3CDTF">2020-05-26T08:28:00Z</dcterms:created>
  <dcterms:modified xsi:type="dcterms:W3CDTF">2020-05-26T08:28:00Z</dcterms:modified>
</cp:coreProperties>
</file>